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CDFD" w14:textId="77777777" w:rsidR="00B17FBE" w:rsidRDefault="00B17FBE" w:rsidP="00301DF9">
      <w:pPr>
        <w:tabs>
          <w:tab w:val="left" w:pos="5920"/>
        </w:tabs>
        <w:rPr>
          <w:rFonts w:cs="Arial"/>
          <w:sz w:val="22"/>
          <w:szCs w:val="22"/>
        </w:rPr>
      </w:pPr>
    </w:p>
    <w:p w14:paraId="17F657A4" w14:textId="22A7C344" w:rsidR="00301DF9" w:rsidRDefault="00301DF9" w:rsidP="00301DF9">
      <w:pPr>
        <w:tabs>
          <w:tab w:val="left" w:pos="5920"/>
        </w:tabs>
        <w:rPr>
          <w:rFonts w:cs="Arial"/>
          <w:sz w:val="22"/>
          <w:szCs w:val="22"/>
        </w:rPr>
      </w:pPr>
      <w:r>
        <w:rPr>
          <w:rFonts w:cs="Arial"/>
          <w:sz w:val="22"/>
          <w:szCs w:val="22"/>
        </w:rPr>
        <w:t xml:space="preserve">Rahandusministeerium                                                  </w:t>
      </w:r>
    </w:p>
    <w:p w14:paraId="25E9B0A8" w14:textId="019278B1" w:rsidR="00FC232A" w:rsidRPr="00742C52" w:rsidRDefault="00301DF9" w:rsidP="00301DF9">
      <w:pPr>
        <w:rPr>
          <w:sz w:val="22"/>
          <w:szCs w:val="22"/>
        </w:rPr>
      </w:pPr>
      <w:hyperlink r:id="rId11" w:history="1">
        <w:r w:rsidRPr="00720CCF">
          <w:rPr>
            <w:rStyle w:val="Hyperlink"/>
            <w:rFonts w:cs="Arial"/>
            <w:sz w:val="22"/>
            <w:szCs w:val="22"/>
          </w:rPr>
          <w:t>info@fin.ee</w:t>
        </w:r>
      </w:hyperlink>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kuupäev digitaalallkirjas nr</w:t>
      </w:r>
      <w:r>
        <w:rPr>
          <w:sz w:val="22"/>
          <w:szCs w:val="22"/>
        </w:rPr>
        <w:t xml:space="preserve"> </w:t>
      </w:r>
      <w:r w:rsidR="00B17FBE" w:rsidRPr="00B17FBE">
        <w:rPr>
          <w:sz w:val="22"/>
          <w:szCs w:val="22"/>
        </w:rPr>
        <w:t>JV-TUR-1/5386</w:t>
      </w:r>
    </w:p>
    <w:p w14:paraId="4CD26123" w14:textId="77777777" w:rsidR="00FC4C4D" w:rsidRDefault="00FC4C4D" w:rsidP="00D24041">
      <w:pPr>
        <w:rPr>
          <w:b/>
          <w:bCs/>
          <w:sz w:val="22"/>
          <w:szCs w:val="22"/>
        </w:rPr>
      </w:pPr>
    </w:p>
    <w:p w14:paraId="25713355" w14:textId="77777777" w:rsidR="00FC4C4D" w:rsidRDefault="00FC4C4D" w:rsidP="00D24041">
      <w:pPr>
        <w:rPr>
          <w:b/>
          <w:bCs/>
          <w:sz w:val="22"/>
          <w:szCs w:val="22"/>
        </w:rPr>
      </w:pPr>
    </w:p>
    <w:p w14:paraId="527DC3AD" w14:textId="77777777" w:rsidR="002B6D78" w:rsidRDefault="002B6D78" w:rsidP="00D24041">
      <w:pPr>
        <w:rPr>
          <w:b/>
          <w:bCs/>
          <w:sz w:val="22"/>
          <w:szCs w:val="22"/>
        </w:rPr>
      </w:pPr>
    </w:p>
    <w:p w14:paraId="5AB23CF1" w14:textId="18EEB83C" w:rsidR="00D24041" w:rsidRPr="00301DF9" w:rsidRDefault="00460260" w:rsidP="00BC4350">
      <w:pPr>
        <w:jc w:val="both"/>
        <w:rPr>
          <w:rFonts w:cs="Arial"/>
          <w:sz w:val="22"/>
          <w:szCs w:val="22"/>
        </w:rPr>
      </w:pPr>
      <w:r>
        <w:rPr>
          <w:rFonts w:cs="Arial"/>
          <w:b/>
          <w:bCs/>
          <w:sz w:val="22"/>
          <w:szCs w:val="22"/>
        </w:rPr>
        <w:t>Selgitustaotlus</w:t>
      </w:r>
      <w:r w:rsidR="009922FE">
        <w:rPr>
          <w:rFonts w:cs="Arial"/>
          <w:b/>
          <w:bCs/>
          <w:sz w:val="22"/>
          <w:szCs w:val="22"/>
        </w:rPr>
        <w:t xml:space="preserve"> elektriaktsiisi </w:t>
      </w:r>
      <w:r w:rsidR="00BC4350">
        <w:rPr>
          <w:rFonts w:cs="Arial"/>
          <w:b/>
          <w:bCs/>
          <w:sz w:val="22"/>
          <w:szCs w:val="22"/>
        </w:rPr>
        <w:t>arvestamise ja</w:t>
      </w:r>
      <w:r w:rsidR="009922FE">
        <w:rPr>
          <w:rFonts w:cs="Arial"/>
          <w:b/>
          <w:bCs/>
          <w:sz w:val="22"/>
          <w:szCs w:val="22"/>
        </w:rPr>
        <w:t xml:space="preserve"> tasumise kohta saldeeritud elektrienergia kogustelt</w:t>
      </w:r>
    </w:p>
    <w:p w14:paraId="02D8CF62" w14:textId="77777777" w:rsidR="00D24041" w:rsidRDefault="00D24041" w:rsidP="00D24041">
      <w:pPr>
        <w:rPr>
          <w:rFonts w:cs="Arial"/>
          <w:b/>
          <w:bCs/>
          <w:sz w:val="22"/>
          <w:szCs w:val="22"/>
        </w:rPr>
      </w:pPr>
    </w:p>
    <w:p w14:paraId="153E9918" w14:textId="10334211" w:rsidR="006334A3" w:rsidRDefault="00DB2BE3" w:rsidP="002E3988">
      <w:pPr>
        <w:jc w:val="both"/>
        <w:rPr>
          <w:rFonts w:cs="Arial"/>
          <w:sz w:val="22"/>
          <w:szCs w:val="22"/>
        </w:rPr>
      </w:pPr>
      <w:r>
        <w:rPr>
          <w:rFonts w:cs="Arial"/>
          <w:sz w:val="22"/>
          <w:szCs w:val="22"/>
        </w:rPr>
        <w:t>Elektrilevi OÜ (edaspidi Elektrilevi)</w:t>
      </w:r>
      <w:r w:rsidR="00D17B27">
        <w:rPr>
          <w:rFonts w:cs="Arial"/>
          <w:sz w:val="22"/>
          <w:szCs w:val="22"/>
        </w:rPr>
        <w:t xml:space="preserve"> </w:t>
      </w:r>
      <w:r w:rsidR="00AF2D03">
        <w:rPr>
          <w:rFonts w:cs="Arial"/>
          <w:sz w:val="22"/>
          <w:szCs w:val="22"/>
        </w:rPr>
        <w:t xml:space="preserve">pöördub </w:t>
      </w:r>
      <w:r w:rsidR="00D17B27">
        <w:rPr>
          <w:rFonts w:cs="Arial"/>
          <w:sz w:val="22"/>
          <w:szCs w:val="22"/>
        </w:rPr>
        <w:t>Rahandusministeeriumi poole</w:t>
      </w:r>
      <w:r w:rsidR="005B341D">
        <w:rPr>
          <w:rFonts w:cs="Arial"/>
          <w:sz w:val="22"/>
          <w:szCs w:val="22"/>
        </w:rPr>
        <w:t xml:space="preserve"> eesmärgiga saada </w:t>
      </w:r>
      <w:r w:rsidR="001A128D">
        <w:rPr>
          <w:rFonts w:cs="Arial"/>
          <w:sz w:val="22"/>
          <w:szCs w:val="22"/>
        </w:rPr>
        <w:t>selgitusi ja suuniseid elektriaktsiisi arvestamiseks ja tasumiseks</w:t>
      </w:r>
      <w:r w:rsidR="0039683F" w:rsidRPr="004A7933">
        <w:rPr>
          <w:rFonts w:cs="Arial"/>
          <w:sz w:val="22"/>
          <w:szCs w:val="22"/>
        </w:rPr>
        <w:t xml:space="preserve"> </w:t>
      </w:r>
      <w:r w:rsidR="005B341D" w:rsidRPr="004A7933">
        <w:rPr>
          <w:rFonts w:cs="Arial"/>
          <w:sz w:val="22"/>
          <w:szCs w:val="22"/>
        </w:rPr>
        <w:t xml:space="preserve">seoses </w:t>
      </w:r>
      <w:r w:rsidR="004A7933" w:rsidRPr="004A7933">
        <w:rPr>
          <w:rFonts w:cs="Arial"/>
          <w:sz w:val="22"/>
          <w:szCs w:val="22"/>
        </w:rPr>
        <w:t xml:space="preserve">2026. aastal jõustuvate </w:t>
      </w:r>
      <w:r w:rsidR="005B341D" w:rsidRPr="004A7933">
        <w:rPr>
          <w:rFonts w:cs="Arial"/>
          <w:sz w:val="22"/>
          <w:szCs w:val="22"/>
        </w:rPr>
        <w:t>elektrituruseaduse (edaspidi ELTS)</w:t>
      </w:r>
      <w:r w:rsidR="00787AB5" w:rsidRPr="004A7933">
        <w:rPr>
          <w:rFonts w:cs="Arial"/>
          <w:sz w:val="22"/>
          <w:szCs w:val="22"/>
        </w:rPr>
        <w:t xml:space="preserve"> muudatustega, </w:t>
      </w:r>
      <w:r w:rsidR="00015DF7">
        <w:rPr>
          <w:rFonts w:cs="Arial"/>
          <w:sz w:val="22"/>
          <w:szCs w:val="22"/>
        </w:rPr>
        <w:t xml:space="preserve">mis </w:t>
      </w:r>
      <w:r w:rsidR="007104CD">
        <w:rPr>
          <w:rFonts w:cs="Arial"/>
          <w:sz w:val="22"/>
          <w:szCs w:val="22"/>
        </w:rPr>
        <w:t>kujundavad ümber</w:t>
      </w:r>
      <w:r w:rsidR="00A87B59">
        <w:rPr>
          <w:rFonts w:cs="Arial"/>
          <w:sz w:val="22"/>
          <w:szCs w:val="22"/>
        </w:rPr>
        <w:t xml:space="preserve"> tarbitud elektrienergia koguste eest tas</w:t>
      </w:r>
      <w:r w:rsidR="00A62854">
        <w:rPr>
          <w:rFonts w:cs="Arial"/>
          <w:sz w:val="22"/>
          <w:szCs w:val="22"/>
        </w:rPr>
        <w:t>u esitamise</w:t>
      </w:r>
      <w:r w:rsidR="00A87B59">
        <w:rPr>
          <w:rFonts w:cs="Arial"/>
          <w:sz w:val="22"/>
          <w:szCs w:val="22"/>
        </w:rPr>
        <w:t xml:space="preserve"> </w:t>
      </w:r>
      <w:r w:rsidR="007104CD">
        <w:rPr>
          <w:rFonts w:cs="Arial"/>
          <w:sz w:val="22"/>
          <w:szCs w:val="22"/>
        </w:rPr>
        <w:t>põhimõtted</w:t>
      </w:r>
      <w:r w:rsidR="00A87B59">
        <w:rPr>
          <w:rFonts w:cs="Arial"/>
          <w:sz w:val="22"/>
          <w:szCs w:val="22"/>
        </w:rPr>
        <w:t xml:space="preserve">. </w:t>
      </w:r>
      <w:r w:rsidR="006334A3">
        <w:rPr>
          <w:rFonts w:cs="Arial"/>
          <w:sz w:val="22"/>
          <w:szCs w:val="22"/>
        </w:rPr>
        <w:t xml:space="preserve">Alates 01.01.2026 tuleb võrguettevõtjal saldeerida </w:t>
      </w:r>
      <w:r w:rsidR="00883E2C" w:rsidRPr="6B2DAC52">
        <w:rPr>
          <w:rFonts w:cs="Arial"/>
          <w:sz w:val="22"/>
          <w:szCs w:val="22"/>
        </w:rPr>
        <w:t xml:space="preserve">võrgust </w:t>
      </w:r>
      <w:r w:rsidR="006334A3" w:rsidRPr="6B2DAC52">
        <w:rPr>
          <w:rFonts w:cs="Arial"/>
          <w:sz w:val="22"/>
          <w:szCs w:val="22"/>
        </w:rPr>
        <w:t>salvestatud</w:t>
      </w:r>
      <w:r w:rsidR="00883E2C" w:rsidRPr="6B2DAC52">
        <w:rPr>
          <w:rFonts w:cs="Arial"/>
          <w:sz w:val="22"/>
          <w:szCs w:val="22"/>
        </w:rPr>
        <w:t xml:space="preserve"> ja võrku tagas</w:t>
      </w:r>
      <w:r w:rsidR="00A70761" w:rsidRPr="6B2DAC52">
        <w:rPr>
          <w:rFonts w:cs="Arial"/>
          <w:sz w:val="22"/>
          <w:szCs w:val="22"/>
        </w:rPr>
        <w:t>tatud</w:t>
      </w:r>
      <w:r w:rsidR="006334A3">
        <w:rPr>
          <w:rFonts w:cs="Arial"/>
          <w:sz w:val="22"/>
          <w:szCs w:val="22"/>
        </w:rPr>
        <w:t xml:space="preserve"> elektrienergia kogused ning alates 01.08.2026 tuleb võrguettevõtjal rakendada netomõõtmist, mis tähendab, et arveldamise aluseks ei ole enam tegelikult </w:t>
      </w:r>
      <w:r w:rsidR="0069088E">
        <w:rPr>
          <w:rFonts w:cs="Arial"/>
          <w:sz w:val="22"/>
          <w:szCs w:val="22"/>
        </w:rPr>
        <w:t xml:space="preserve">liitumispunkti läbinud ja võrgust </w:t>
      </w:r>
      <w:r w:rsidR="00E40CA5" w:rsidRPr="6B2DAC52">
        <w:rPr>
          <w:rFonts w:cs="Arial"/>
          <w:sz w:val="22"/>
          <w:szCs w:val="22"/>
        </w:rPr>
        <w:t xml:space="preserve">tarbitud </w:t>
      </w:r>
      <w:r w:rsidR="0069088E">
        <w:rPr>
          <w:rFonts w:cs="Arial"/>
          <w:sz w:val="22"/>
          <w:szCs w:val="22"/>
        </w:rPr>
        <w:t>(mõõdetud) elektrienergia kogused</w:t>
      </w:r>
      <w:r w:rsidR="006334A3">
        <w:rPr>
          <w:rFonts w:cs="Arial"/>
          <w:sz w:val="22"/>
          <w:szCs w:val="22"/>
        </w:rPr>
        <w:t xml:space="preserve">, vaid elektrienergia arvutuslikud kogused. </w:t>
      </w:r>
    </w:p>
    <w:p w14:paraId="660CFC39" w14:textId="77777777" w:rsidR="006334A3" w:rsidRDefault="006334A3" w:rsidP="002E3988">
      <w:pPr>
        <w:jc w:val="both"/>
        <w:rPr>
          <w:rFonts w:cs="Arial"/>
          <w:sz w:val="22"/>
          <w:szCs w:val="22"/>
        </w:rPr>
      </w:pPr>
    </w:p>
    <w:p w14:paraId="5C9C57B0" w14:textId="6B157386" w:rsidR="00B01193" w:rsidRDefault="008811FC" w:rsidP="002E3988">
      <w:pPr>
        <w:jc w:val="both"/>
        <w:rPr>
          <w:rFonts w:cs="Arial"/>
          <w:sz w:val="22"/>
          <w:szCs w:val="22"/>
        </w:rPr>
      </w:pPr>
      <w:r>
        <w:rPr>
          <w:rFonts w:cs="Arial"/>
          <w:sz w:val="22"/>
          <w:szCs w:val="22"/>
        </w:rPr>
        <w:t>ELTS-i m</w:t>
      </w:r>
      <w:r w:rsidR="00E04DFB">
        <w:rPr>
          <w:rFonts w:cs="Arial"/>
          <w:sz w:val="22"/>
          <w:szCs w:val="22"/>
        </w:rPr>
        <w:t>uudatused omavad mõju</w:t>
      </w:r>
      <w:r w:rsidR="00A87B59">
        <w:rPr>
          <w:rFonts w:cs="Arial"/>
          <w:sz w:val="22"/>
          <w:szCs w:val="22"/>
        </w:rPr>
        <w:t xml:space="preserve"> </w:t>
      </w:r>
      <w:r w:rsidR="007D4F1A">
        <w:rPr>
          <w:rFonts w:cs="Arial"/>
          <w:sz w:val="22"/>
          <w:szCs w:val="22"/>
        </w:rPr>
        <w:t>võrguteenuse edastamistasu</w:t>
      </w:r>
      <w:r w:rsidR="00CE5244">
        <w:rPr>
          <w:rFonts w:cs="Arial"/>
          <w:sz w:val="22"/>
          <w:szCs w:val="22"/>
        </w:rPr>
        <w:t xml:space="preserve"> ja</w:t>
      </w:r>
      <w:r w:rsidR="005842FB">
        <w:rPr>
          <w:rFonts w:cs="Arial"/>
          <w:sz w:val="22"/>
          <w:szCs w:val="22"/>
        </w:rPr>
        <w:t xml:space="preserve"> taastuvenergia tasu</w:t>
      </w:r>
      <w:r w:rsidR="007D4F1A">
        <w:rPr>
          <w:rFonts w:cs="Arial"/>
          <w:sz w:val="22"/>
          <w:szCs w:val="22"/>
        </w:rPr>
        <w:t xml:space="preserve"> </w:t>
      </w:r>
      <w:r w:rsidR="00A62854">
        <w:rPr>
          <w:rFonts w:cs="Arial"/>
          <w:sz w:val="22"/>
          <w:szCs w:val="22"/>
        </w:rPr>
        <w:t xml:space="preserve">esitamisele, kuid Elektrilevi hinnangul ei ole </w:t>
      </w:r>
      <w:r w:rsidR="00C541B7">
        <w:rPr>
          <w:rFonts w:cs="Arial"/>
          <w:sz w:val="22"/>
          <w:szCs w:val="22"/>
        </w:rPr>
        <w:t xml:space="preserve">muudatuste rakendamisel üheselt selge, </w:t>
      </w:r>
      <w:r w:rsidR="00E75974">
        <w:rPr>
          <w:rFonts w:cs="Arial"/>
          <w:sz w:val="22"/>
          <w:szCs w:val="22"/>
        </w:rPr>
        <w:t>kuidas</w:t>
      </w:r>
      <w:r w:rsidR="00C541B7">
        <w:rPr>
          <w:rFonts w:cs="Arial"/>
          <w:sz w:val="22"/>
          <w:szCs w:val="22"/>
        </w:rPr>
        <w:t xml:space="preserve"> tuleb </w:t>
      </w:r>
      <w:r w:rsidR="00E75974">
        <w:rPr>
          <w:rFonts w:cs="Arial"/>
          <w:sz w:val="22"/>
          <w:szCs w:val="22"/>
        </w:rPr>
        <w:t>edaspidiselt käsitleda</w:t>
      </w:r>
      <w:r w:rsidR="00C541B7">
        <w:rPr>
          <w:rFonts w:cs="Arial"/>
          <w:sz w:val="22"/>
          <w:szCs w:val="22"/>
        </w:rPr>
        <w:t xml:space="preserve"> elektriaktsiisi arvestust. </w:t>
      </w:r>
      <w:r w:rsidR="006334A3">
        <w:rPr>
          <w:rFonts w:cs="Arial"/>
          <w:sz w:val="22"/>
          <w:szCs w:val="22"/>
        </w:rPr>
        <w:t>Kuna a</w:t>
      </w:r>
      <w:r w:rsidR="002936B1" w:rsidRPr="002936B1">
        <w:rPr>
          <w:rFonts w:cs="Arial"/>
          <w:sz w:val="22"/>
          <w:szCs w:val="22"/>
        </w:rPr>
        <w:t>lkoholi-, tubaka-, kütuse- ja elektriaktsiisi seadus</w:t>
      </w:r>
      <w:r w:rsidR="002936B1">
        <w:rPr>
          <w:rFonts w:cs="Arial"/>
          <w:sz w:val="22"/>
          <w:szCs w:val="22"/>
        </w:rPr>
        <w:t xml:space="preserve">e (ATKEAS) </w:t>
      </w:r>
      <w:r w:rsidR="006C40E7">
        <w:rPr>
          <w:rFonts w:cs="Arial"/>
          <w:sz w:val="22"/>
          <w:szCs w:val="22"/>
        </w:rPr>
        <w:t xml:space="preserve">alusel </w:t>
      </w:r>
      <w:r w:rsidR="0013015C">
        <w:rPr>
          <w:rFonts w:cs="Arial"/>
          <w:sz w:val="22"/>
          <w:szCs w:val="22"/>
        </w:rPr>
        <w:t xml:space="preserve">tuleb Elektrilevi </w:t>
      </w:r>
      <w:r w:rsidR="006625FE">
        <w:rPr>
          <w:rFonts w:cs="Arial"/>
          <w:sz w:val="22"/>
          <w:szCs w:val="22"/>
        </w:rPr>
        <w:t>võrgust tarbijale edastatud elektrienergia eest</w:t>
      </w:r>
      <w:r w:rsidR="0013015C">
        <w:rPr>
          <w:rFonts w:cs="Arial"/>
          <w:sz w:val="22"/>
          <w:szCs w:val="22"/>
        </w:rPr>
        <w:t xml:space="preserve"> elektriaktsiisi arvestada, deklareerida ja tasuda Elektrilevil</w:t>
      </w:r>
      <w:r w:rsidR="006C1F10">
        <w:rPr>
          <w:rFonts w:cs="Arial"/>
          <w:sz w:val="22"/>
          <w:szCs w:val="22"/>
        </w:rPr>
        <w:t>,</w:t>
      </w:r>
      <w:r w:rsidR="006334A3">
        <w:rPr>
          <w:rFonts w:cs="Arial"/>
          <w:sz w:val="22"/>
          <w:szCs w:val="22"/>
        </w:rPr>
        <w:t xml:space="preserve"> siis palub Elektrilevi </w:t>
      </w:r>
      <w:r w:rsidR="00696F07">
        <w:rPr>
          <w:rFonts w:cs="Arial"/>
          <w:sz w:val="22"/>
          <w:szCs w:val="22"/>
        </w:rPr>
        <w:t xml:space="preserve">juhiseid, kuidas tuleb elektrituruseaduses </w:t>
      </w:r>
      <w:r w:rsidR="00877627">
        <w:rPr>
          <w:rFonts w:cs="Arial"/>
          <w:sz w:val="22"/>
          <w:szCs w:val="22"/>
        </w:rPr>
        <w:t>jõustunud muudatusi arvesse võttes alates 01.01.2026 elektriaktsiisi</w:t>
      </w:r>
      <w:r w:rsidR="00736819">
        <w:rPr>
          <w:rFonts w:cs="Arial"/>
          <w:sz w:val="22"/>
          <w:szCs w:val="22"/>
        </w:rPr>
        <w:t xml:space="preserve"> tasuda</w:t>
      </w:r>
      <w:r w:rsidR="00877627">
        <w:rPr>
          <w:rFonts w:cs="Arial"/>
          <w:sz w:val="22"/>
          <w:szCs w:val="22"/>
        </w:rPr>
        <w:t>.</w:t>
      </w:r>
    </w:p>
    <w:p w14:paraId="02AAF6AD" w14:textId="77777777" w:rsidR="00E13C33" w:rsidRDefault="00E13C33" w:rsidP="002E3988">
      <w:pPr>
        <w:jc w:val="both"/>
        <w:rPr>
          <w:rFonts w:cs="Arial"/>
          <w:sz w:val="22"/>
          <w:szCs w:val="22"/>
        </w:rPr>
      </w:pPr>
    </w:p>
    <w:p w14:paraId="0F69B46E" w14:textId="6D09CA51" w:rsidR="00E13C33" w:rsidRDefault="00E13C33" w:rsidP="002E3988">
      <w:pPr>
        <w:jc w:val="both"/>
        <w:rPr>
          <w:rFonts w:cs="Arial"/>
          <w:b/>
          <w:bCs/>
          <w:sz w:val="22"/>
          <w:szCs w:val="22"/>
        </w:rPr>
      </w:pPr>
      <w:r w:rsidRPr="00F10975">
        <w:rPr>
          <w:rFonts w:cs="Arial"/>
          <w:b/>
          <w:bCs/>
          <w:sz w:val="22"/>
          <w:szCs w:val="22"/>
        </w:rPr>
        <w:t>Salvestatud elektrienergia saldeerimine alates 01.01.2026</w:t>
      </w:r>
    </w:p>
    <w:p w14:paraId="4DD8C837" w14:textId="77777777" w:rsidR="00F10975" w:rsidRDefault="00F10975" w:rsidP="002E3988">
      <w:pPr>
        <w:jc w:val="both"/>
        <w:rPr>
          <w:rFonts w:cs="Arial"/>
          <w:b/>
          <w:bCs/>
          <w:sz w:val="22"/>
          <w:szCs w:val="22"/>
        </w:rPr>
      </w:pPr>
    </w:p>
    <w:p w14:paraId="46528332" w14:textId="77777777" w:rsidR="00EC3E54" w:rsidRDefault="00F10975" w:rsidP="00F10975">
      <w:pPr>
        <w:jc w:val="both"/>
        <w:rPr>
          <w:sz w:val="22"/>
          <w:szCs w:val="22"/>
        </w:rPr>
      </w:pPr>
      <w:r w:rsidRPr="00DC06EE">
        <w:rPr>
          <w:rFonts w:cs="Arial"/>
          <w:sz w:val="22"/>
          <w:szCs w:val="22"/>
        </w:rPr>
        <w:t>Elektrituruseaduse</w:t>
      </w:r>
      <w:r w:rsidR="0020280C">
        <w:rPr>
          <w:rFonts w:cs="Arial"/>
          <w:sz w:val="22"/>
          <w:szCs w:val="22"/>
        </w:rPr>
        <w:t xml:space="preserve">s </w:t>
      </w:r>
      <w:r w:rsidR="00EC3E54">
        <w:rPr>
          <w:rFonts w:cs="Arial"/>
          <w:sz w:val="22"/>
          <w:szCs w:val="22"/>
        </w:rPr>
        <w:t xml:space="preserve">jõustub 01.01.2026 </w:t>
      </w:r>
      <w:r w:rsidRPr="00DC06EE">
        <w:rPr>
          <w:sz w:val="22"/>
          <w:szCs w:val="22"/>
        </w:rPr>
        <w:t>§ 71 l</w:t>
      </w:r>
      <w:r w:rsidR="00EC3E54">
        <w:rPr>
          <w:sz w:val="22"/>
          <w:szCs w:val="22"/>
        </w:rPr>
        <w:t>g</w:t>
      </w:r>
      <w:r w:rsidRPr="00DC06EE">
        <w:rPr>
          <w:sz w:val="22"/>
          <w:szCs w:val="22"/>
        </w:rPr>
        <w:t xml:space="preserve"> 10</w:t>
      </w:r>
      <w:r w:rsidRPr="00DC06EE">
        <w:rPr>
          <w:sz w:val="22"/>
          <w:szCs w:val="22"/>
          <w:vertAlign w:val="superscript"/>
        </w:rPr>
        <w:t xml:space="preserve">1 </w:t>
      </w:r>
      <w:r w:rsidRPr="00DC06EE">
        <w:rPr>
          <w:sz w:val="22"/>
          <w:szCs w:val="22"/>
        </w:rPr>
        <w:t xml:space="preserve">järgmises sõnastuses: </w:t>
      </w:r>
    </w:p>
    <w:p w14:paraId="52DBC3BC" w14:textId="77777777" w:rsidR="00EC3E54" w:rsidRDefault="00EC3E54" w:rsidP="00F10975">
      <w:pPr>
        <w:jc w:val="both"/>
        <w:rPr>
          <w:sz w:val="22"/>
          <w:szCs w:val="22"/>
        </w:rPr>
      </w:pPr>
    </w:p>
    <w:p w14:paraId="3AC7F2B1" w14:textId="667FE0B1" w:rsidR="00F10975" w:rsidRPr="00C129DF" w:rsidRDefault="00F10975" w:rsidP="00F10975">
      <w:pPr>
        <w:jc w:val="both"/>
        <w:rPr>
          <w:i/>
          <w:iCs/>
          <w:sz w:val="22"/>
          <w:szCs w:val="22"/>
        </w:rPr>
      </w:pPr>
      <w:r w:rsidRPr="00C129DF">
        <w:rPr>
          <w:i/>
          <w:iCs/>
          <w:sz w:val="22"/>
          <w:szCs w:val="22"/>
        </w:rPr>
        <w:t>„Salvestusperioodi vältel elektrivõrgust energiasalvestusüksusesse salvestatud elektrienergia eest ei võeta samal perioodil elektrivõrku tagastatud elektrienergia koguse ulatuses käesoleva paragrahvi lõike 1 punkti 4 kohast edastamistasu, kui on täidetud vähemalt üks käesoleva seaduse § 59</w:t>
      </w:r>
      <w:r w:rsidRPr="00C129DF">
        <w:rPr>
          <w:i/>
          <w:iCs/>
          <w:sz w:val="22"/>
          <w:szCs w:val="22"/>
          <w:vertAlign w:val="superscript"/>
        </w:rPr>
        <w:t xml:space="preserve">2 </w:t>
      </w:r>
      <w:r w:rsidRPr="00C129DF">
        <w:rPr>
          <w:i/>
          <w:iCs/>
          <w:sz w:val="22"/>
          <w:szCs w:val="22"/>
        </w:rPr>
        <w:t>lõike 10 punktides 1–4 nimetatud tingimustest.“</w:t>
      </w:r>
    </w:p>
    <w:p w14:paraId="6A72AAA5" w14:textId="77777777" w:rsidR="008C53AD" w:rsidRDefault="008C53AD" w:rsidP="00F10975">
      <w:pPr>
        <w:jc w:val="both"/>
        <w:rPr>
          <w:sz w:val="22"/>
          <w:szCs w:val="22"/>
        </w:rPr>
      </w:pPr>
    </w:p>
    <w:p w14:paraId="1FBAC19F" w14:textId="0D1E7DBD" w:rsidR="00F10975" w:rsidRPr="006623B0" w:rsidRDefault="008C53AD" w:rsidP="00F10975">
      <w:pPr>
        <w:jc w:val="both"/>
        <w:rPr>
          <w:rFonts w:cs="Arial"/>
          <w:b/>
          <w:bCs/>
          <w:sz w:val="22"/>
          <w:szCs w:val="22"/>
        </w:rPr>
      </w:pPr>
      <w:r>
        <w:rPr>
          <w:sz w:val="22"/>
          <w:szCs w:val="22"/>
        </w:rPr>
        <w:t xml:space="preserve">Teisisõnu, kui mõõtepunkt, millega on </w:t>
      </w:r>
      <w:r w:rsidR="004131D9">
        <w:rPr>
          <w:sz w:val="22"/>
          <w:szCs w:val="22"/>
        </w:rPr>
        <w:t xml:space="preserve">ühendatud </w:t>
      </w:r>
      <w:r>
        <w:rPr>
          <w:sz w:val="22"/>
          <w:szCs w:val="22"/>
        </w:rPr>
        <w:t xml:space="preserve">salvestusseade, vastab vähemalt ühele ELTS </w:t>
      </w:r>
      <w:r w:rsidRPr="008C53AD">
        <w:rPr>
          <w:sz w:val="22"/>
          <w:szCs w:val="22"/>
        </w:rPr>
        <w:t>§ 59</w:t>
      </w:r>
      <w:r w:rsidRPr="008C53AD">
        <w:rPr>
          <w:sz w:val="22"/>
          <w:szCs w:val="22"/>
          <w:vertAlign w:val="superscript"/>
        </w:rPr>
        <w:t>2</w:t>
      </w:r>
      <w:r w:rsidRPr="008C53AD">
        <w:rPr>
          <w:sz w:val="22"/>
          <w:szCs w:val="22"/>
        </w:rPr>
        <w:t xml:space="preserve"> lõike 10 punktides 1–4 nimetatud tingimust</w:t>
      </w:r>
      <w:r>
        <w:rPr>
          <w:sz w:val="22"/>
          <w:szCs w:val="22"/>
        </w:rPr>
        <w:t>ele, siis tuleb võrguettevõtjal</w:t>
      </w:r>
      <w:r w:rsidR="003A4BF5">
        <w:rPr>
          <w:sz w:val="22"/>
          <w:szCs w:val="22"/>
        </w:rPr>
        <w:t xml:space="preserve"> võrgust </w:t>
      </w:r>
      <w:r w:rsidR="00FD347F">
        <w:rPr>
          <w:sz w:val="22"/>
          <w:szCs w:val="22"/>
        </w:rPr>
        <w:t xml:space="preserve">energiasalvestusüksusesse </w:t>
      </w:r>
      <w:r w:rsidR="003A4BF5">
        <w:rPr>
          <w:sz w:val="22"/>
          <w:szCs w:val="22"/>
        </w:rPr>
        <w:t>salvestatud ja võrku tagasi antud elektrienergia kogused saldeerida.</w:t>
      </w:r>
      <w:r w:rsidR="006623B0">
        <w:rPr>
          <w:sz w:val="22"/>
          <w:szCs w:val="22"/>
        </w:rPr>
        <w:t xml:space="preserve"> ELTS § 3 lg p 22</w:t>
      </w:r>
      <w:r w:rsidR="006623B0" w:rsidRPr="00023954">
        <w:rPr>
          <w:sz w:val="22"/>
          <w:szCs w:val="22"/>
          <w:vertAlign w:val="superscript"/>
        </w:rPr>
        <w:t>4</w:t>
      </w:r>
      <w:r w:rsidR="006623B0">
        <w:rPr>
          <w:sz w:val="22"/>
          <w:szCs w:val="22"/>
        </w:rPr>
        <w:t xml:space="preserve"> kohaselt on salvestusperiood kalendrikuu.</w:t>
      </w:r>
      <w:r w:rsidR="006623B0">
        <w:rPr>
          <w:rFonts w:cs="Arial"/>
          <w:b/>
          <w:bCs/>
          <w:sz w:val="22"/>
          <w:szCs w:val="22"/>
        </w:rPr>
        <w:t xml:space="preserve"> </w:t>
      </w:r>
      <w:r w:rsidR="00BE6394">
        <w:rPr>
          <w:sz w:val="22"/>
          <w:szCs w:val="22"/>
        </w:rPr>
        <w:t>Seega n</w:t>
      </w:r>
      <w:r w:rsidR="00F10975" w:rsidRPr="00621CFE">
        <w:rPr>
          <w:sz w:val="22"/>
          <w:szCs w:val="22"/>
        </w:rPr>
        <w:t>äiteks</w:t>
      </w:r>
      <w:r w:rsidR="00837BCF">
        <w:rPr>
          <w:sz w:val="22"/>
          <w:szCs w:val="22"/>
        </w:rPr>
        <w:t>,</w:t>
      </w:r>
      <w:r w:rsidR="00F10975" w:rsidRPr="00621CFE">
        <w:rPr>
          <w:sz w:val="22"/>
          <w:szCs w:val="22"/>
        </w:rPr>
        <w:t xml:space="preserve"> kui energiasalvestusüksus tarbib elektrivõrgust 100 ühikut elektrienergiat ja tagastab sellest salvestusperioodi</w:t>
      </w:r>
      <w:r w:rsidR="00837BCF">
        <w:rPr>
          <w:sz w:val="22"/>
          <w:szCs w:val="22"/>
        </w:rPr>
        <w:t xml:space="preserve"> (ühe kuu)</w:t>
      </w:r>
      <w:r w:rsidR="00F10975" w:rsidRPr="00621CFE">
        <w:rPr>
          <w:sz w:val="22"/>
          <w:szCs w:val="22"/>
        </w:rPr>
        <w:t xml:space="preserve"> jooksul võrku 80 ühikut elektrienergiat, siis maksab energiasalvestusüksus </w:t>
      </w:r>
      <w:r w:rsidR="00DE7520" w:rsidRPr="00621CFE">
        <w:rPr>
          <w:sz w:val="22"/>
          <w:szCs w:val="22"/>
        </w:rPr>
        <w:t xml:space="preserve">edastamistasu </w:t>
      </w:r>
      <w:r w:rsidR="00DE7520">
        <w:rPr>
          <w:sz w:val="22"/>
          <w:szCs w:val="22"/>
        </w:rPr>
        <w:t xml:space="preserve">100 ühiku asemel </w:t>
      </w:r>
      <w:r w:rsidR="00F10975" w:rsidRPr="00621CFE">
        <w:rPr>
          <w:sz w:val="22"/>
          <w:szCs w:val="22"/>
        </w:rPr>
        <w:t>20</w:t>
      </w:r>
      <w:r w:rsidR="00DE7520">
        <w:rPr>
          <w:sz w:val="22"/>
          <w:szCs w:val="22"/>
        </w:rPr>
        <w:t xml:space="preserve"> </w:t>
      </w:r>
      <w:r w:rsidR="00F10975" w:rsidRPr="00621CFE">
        <w:rPr>
          <w:sz w:val="22"/>
          <w:szCs w:val="22"/>
        </w:rPr>
        <w:t xml:space="preserve">ühiku elektrienergia eest. </w:t>
      </w:r>
    </w:p>
    <w:p w14:paraId="3276EF1C" w14:textId="77777777" w:rsidR="00C129DF" w:rsidRDefault="00C129DF" w:rsidP="00F10975">
      <w:pPr>
        <w:jc w:val="both"/>
        <w:rPr>
          <w:sz w:val="22"/>
          <w:szCs w:val="22"/>
        </w:rPr>
      </w:pPr>
    </w:p>
    <w:p w14:paraId="2EFBF9EC" w14:textId="5DEFBBAC" w:rsidR="008E4CFB" w:rsidRDefault="00437AD9" w:rsidP="002E3988">
      <w:pPr>
        <w:jc w:val="both"/>
        <w:rPr>
          <w:rFonts w:cs="Arial"/>
          <w:sz w:val="22"/>
          <w:szCs w:val="22"/>
        </w:rPr>
      </w:pPr>
      <w:r>
        <w:rPr>
          <w:rFonts w:cs="Arial"/>
          <w:sz w:val="22"/>
          <w:szCs w:val="22"/>
        </w:rPr>
        <w:t xml:space="preserve">Salvestatud elektrienergia saldeerimist tuleb ELTS § </w:t>
      </w:r>
      <w:r w:rsidR="005E5251">
        <w:rPr>
          <w:rFonts w:cs="Arial"/>
          <w:sz w:val="22"/>
          <w:szCs w:val="22"/>
        </w:rPr>
        <w:t>59</w:t>
      </w:r>
      <w:r w:rsidR="005E5251" w:rsidRPr="005E5251">
        <w:rPr>
          <w:rFonts w:cs="Arial"/>
          <w:sz w:val="22"/>
          <w:szCs w:val="22"/>
          <w:vertAlign w:val="superscript"/>
        </w:rPr>
        <w:t>2</w:t>
      </w:r>
      <w:r w:rsidR="005E5251">
        <w:rPr>
          <w:rFonts w:cs="Arial"/>
          <w:sz w:val="22"/>
          <w:szCs w:val="22"/>
        </w:rPr>
        <w:t xml:space="preserve"> lg 10 kohaselt rakendada ka taastuvenergia tasu esitamisel. </w:t>
      </w:r>
    </w:p>
    <w:p w14:paraId="55AB6FF0" w14:textId="77777777" w:rsidR="004B64FE" w:rsidRDefault="004B64FE" w:rsidP="002E3988">
      <w:pPr>
        <w:jc w:val="both"/>
        <w:rPr>
          <w:rFonts w:cs="Arial"/>
          <w:sz w:val="22"/>
          <w:szCs w:val="22"/>
        </w:rPr>
      </w:pPr>
    </w:p>
    <w:p w14:paraId="303C0543" w14:textId="0A921404" w:rsidR="002651F8" w:rsidRDefault="0019753E" w:rsidP="002E3988">
      <w:pPr>
        <w:jc w:val="both"/>
        <w:rPr>
          <w:rFonts w:cs="Arial"/>
          <w:sz w:val="22"/>
          <w:szCs w:val="22"/>
        </w:rPr>
      </w:pPr>
      <w:r>
        <w:rPr>
          <w:rFonts w:cs="Arial"/>
          <w:sz w:val="22"/>
          <w:szCs w:val="22"/>
        </w:rPr>
        <w:t xml:space="preserve">Kuigi </w:t>
      </w:r>
      <w:r w:rsidR="00CC0ACB">
        <w:rPr>
          <w:rFonts w:cs="Arial"/>
          <w:sz w:val="22"/>
          <w:szCs w:val="22"/>
        </w:rPr>
        <w:t xml:space="preserve">seadusandja ei muutnud </w:t>
      </w:r>
      <w:r>
        <w:rPr>
          <w:rFonts w:cs="Arial"/>
          <w:sz w:val="22"/>
          <w:szCs w:val="22"/>
        </w:rPr>
        <w:t xml:space="preserve">ATKEAS-t, siis seletuskirjas </w:t>
      </w:r>
      <w:r w:rsidR="002651F8">
        <w:rPr>
          <w:rFonts w:cs="Arial"/>
          <w:sz w:val="22"/>
          <w:szCs w:val="22"/>
        </w:rPr>
        <w:t>on seadusandja väljendanud ootust saldeeritud elektrienergia koguseid kasutada ka elektriaktsiisi eest arveldamisel:</w:t>
      </w:r>
    </w:p>
    <w:p w14:paraId="79CB6BBE" w14:textId="77777777" w:rsidR="00FD04BE" w:rsidRDefault="00FD04BE" w:rsidP="002E3988">
      <w:pPr>
        <w:jc w:val="both"/>
        <w:rPr>
          <w:rFonts w:cs="Arial"/>
          <w:sz w:val="22"/>
          <w:szCs w:val="22"/>
        </w:rPr>
      </w:pPr>
    </w:p>
    <w:p w14:paraId="629338BC" w14:textId="61272CA5" w:rsidR="004B64FE" w:rsidRDefault="005267F8" w:rsidP="002E3988">
      <w:pPr>
        <w:jc w:val="both"/>
        <w:rPr>
          <w:rFonts w:cs="Arial"/>
          <w:i/>
          <w:iCs/>
          <w:sz w:val="22"/>
          <w:szCs w:val="22"/>
        </w:rPr>
      </w:pPr>
      <w:r>
        <w:rPr>
          <w:rFonts w:cs="Arial"/>
          <w:i/>
          <w:iCs/>
          <w:sz w:val="22"/>
          <w:szCs w:val="22"/>
        </w:rPr>
        <w:t>„</w:t>
      </w:r>
      <w:r w:rsidR="002651F8" w:rsidRPr="002651F8">
        <w:rPr>
          <w:rFonts w:cs="Arial"/>
          <w:i/>
          <w:iCs/>
          <w:sz w:val="22"/>
          <w:szCs w:val="22"/>
        </w:rPr>
        <w:t xml:space="preserve">Reeglina laeb salvesti end ühel päeval täis ja annab selle elektri samal või järgmisel päeval võrku tagasi, misjärel tarbib tarbija võrku tagastatud elektri ära ja maksab selle eest edastamistasu, taastuvenergia toetuste rahastamise tasu ja elektriaktsiisi. Seega maksab elektrienergia salvestamise eest eelmainitud tasud turuosaline, misjärel maksab sama elektri tarbimise eest eelmainitud tasud ka tarbija. Eelnõu eesmärk on mitte võtta elektrienergia võrgust salvestamisel </w:t>
      </w:r>
      <w:r w:rsidR="002651F8" w:rsidRPr="002651F8">
        <w:rPr>
          <w:rFonts w:cs="Arial"/>
          <w:b/>
          <w:bCs/>
          <w:i/>
          <w:iCs/>
          <w:sz w:val="22"/>
          <w:szCs w:val="22"/>
        </w:rPr>
        <w:t>eelmainitud tasusid</w:t>
      </w:r>
      <w:r w:rsidR="002651F8" w:rsidRPr="002651F8">
        <w:rPr>
          <w:rFonts w:cs="Arial"/>
          <w:i/>
          <w:iCs/>
          <w:sz w:val="22"/>
          <w:szCs w:val="22"/>
        </w:rPr>
        <w:t xml:space="preserve"> koguse eest, mis salvestusperioodi jooksul (üks kuu) võrku tagastatakse. Energiasalvestusüksus võib muudatusega hoida käitamiskuludelt kokku kuni 50%.</w:t>
      </w:r>
      <w:r w:rsidR="002651F8">
        <w:rPr>
          <w:rStyle w:val="FootnoteReference"/>
          <w:rFonts w:cs="Arial"/>
          <w:i/>
          <w:iCs/>
          <w:sz w:val="22"/>
          <w:szCs w:val="22"/>
        </w:rPr>
        <w:footnoteReference w:id="2"/>
      </w:r>
      <w:r>
        <w:rPr>
          <w:rFonts w:cs="Arial"/>
          <w:i/>
          <w:iCs/>
          <w:sz w:val="22"/>
          <w:szCs w:val="22"/>
        </w:rPr>
        <w:t>“</w:t>
      </w:r>
    </w:p>
    <w:p w14:paraId="448522E1" w14:textId="77777777" w:rsidR="00BC3E9F" w:rsidRDefault="00BC3E9F" w:rsidP="002E3988">
      <w:pPr>
        <w:jc w:val="both"/>
        <w:rPr>
          <w:rFonts w:cs="Arial"/>
          <w:i/>
          <w:iCs/>
          <w:sz w:val="22"/>
          <w:szCs w:val="22"/>
        </w:rPr>
      </w:pPr>
    </w:p>
    <w:p w14:paraId="594F3D46" w14:textId="284B1337" w:rsidR="00BC3E9F" w:rsidRPr="00BC3E9F" w:rsidRDefault="00BC3E9F" w:rsidP="002E3988">
      <w:pPr>
        <w:jc w:val="both"/>
        <w:rPr>
          <w:rFonts w:cs="Arial"/>
          <w:b/>
          <w:bCs/>
          <w:sz w:val="22"/>
          <w:szCs w:val="22"/>
        </w:rPr>
      </w:pPr>
      <w:r w:rsidRPr="00BC3E9F">
        <w:rPr>
          <w:rFonts w:cs="Arial"/>
          <w:b/>
          <w:bCs/>
          <w:sz w:val="22"/>
          <w:szCs w:val="22"/>
        </w:rPr>
        <w:t>Netomõõtmine alates 01.08.2026</w:t>
      </w:r>
    </w:p>
    <w:p w14:paraId="57F0F7E9" w14:textId="77777777" w:rsidR="00593CBE" w:rsidRDefault="00593CBE" w:rsidP="00593CBE">
      <w:pPr>
        <w:pStyle w:val="Kirjatekst"/>
      </w:pPr>
    </w:p>
    <w:p w14:paraId="3AE250D3" w14:textId="77777777" w:rsidR="00593CBE" w:rsidRDefault="00593CBE" w:rsidP="00593CBE">
      <w:pPr>
        <w:pStyle w:val="Kirjatekst"/>
      </w:pPr>
      <w:r w:rsidRPr="00DC06EE">
        <w:t>Elektrituruseaduse</w:t>
      </w:r>
      <w:r>
        <w:t>s jõustub 01.08.2026 § 75</w:t>
      </w:r>
      <w:r w:rsidRPr="00736F08">
        <w:rPr>
          <w:vertAlign w:val="superscript"/>
        </w:rPr>
        <w:t>1</w:t>
      </w:r>
      <w:r>
        <w:t xml:space="preserve"> lg 1</w:t>
      </w:r>
      <w:r>
        <w:rPr>
          <w:vertAlign w:val="superscript"/>
        </w:rPr>
        <w:t xml:space="preserve">2 </w:t>
      </w:r>
      <w:r>
        <w:t xml:space="preserve">järgmises sõnastuses: </w:t>
      </w:r>
    </w:p>
    <w:p w14:paraId="14879F12" w14:textId="77777777" w:rsidR="00593CBE" w:rsidRDefault="00593CBE" w:rsidP="00593CBE">
      <w:pPr>
        <w:pStyle w:val="Kirjatekst"/>
      </w:pPr>
    </w:p>
    <w:p w14:paraId="34D2585C" w14:textId="17438665" w:rsidR="00593CBE" w:rsidRPr="00736F08" w:rsidRDefault="00593CBE" w:rsidP="00593CBE">
      <w:pPr>
        <w:pStyle w:val="Kirjatekst"/>
        <w:rPr>
          <w:i/>
          <w:iCs/>
        </w:rPr>
      </w:pPr>
      <w:r w:rsidRPr="00736F08">
        <w:rPr>
          <w:i/>
          <w:iCs/>
        </w:rPr>
        <w:t>„Võrguettevõtja ja elektrimüüja arveldavad tootja ning tarbijaga kauplemisperioodidel netomõõdetud elektrienergia koguste eest.“</w:t>
      </w:r>
    </w:p>
    <w:p w14:paraId="18A29063" w14:textId="77777777" w:rsidR="00593CBE" w:rsidRDefault="00593CBE" w:rsidP="00593CBE">
      <w:pPr>
        <w:pStyle w:val="Kirjatekst"/>
      </w:pPr>
    </w:p>
    <w:p w14:paraId="57928846" w14:textId="20A90845" w:rsidR="00593CBE" w:rsidRDefault="00432AEB" w:rsidP="00593CBE">
      <w:pPr>
        <w:pStyle w:val="Kirjatekst"/>
      </w:pPr>
      <w:r>
        <w:t>ELTS § 3 p 4</w:t>
      </w:r>
      <w:r w:rsidRPr="00432AEB">
        <w:rPr>
          <w:vertAlign w:val="superscript"/>
        </w:rPr>
        <w:t>1</w:t>
      </w:r>
      <w:r>
        <w:t xml:space="preserve"> kohaselt on netomõõtmine kauplemisperioodil mõõtepunkti läbinud tootmis- ja tarbimissuunalise elektrienergia saldeerimine. </w:t>
      </w:r>
    </w:p>
    <w:p w14:paraId="1CE05095" w14:textId="77777777" w:rsidR="00736F08" w:rsidRDefault="00736F08" w:rsidP="00593CBE">
      <w:pPr>
        <w:pStyle w:val="Kirjatekst"/>
      </w:pPr>
    </w:p>
    <w:p w14:paraId="6F4E651F" w14:textId="467C5B51" w:rsidR="00736F08" w:rsidRDefault="00736F08" w:rsidP="00736F08">
      <w:pPr>
        <w:jc w:val="both"/>
        <w:rPr>
          <w:rFonts w:cs="Arial"/>
          <w:sz w:val="22"/>
          <w:szCs w:val="22"/>
        </w:rPr>
      </w:pPr>
      <w:r>
        <w:rPr>
          <w:rFonts w:cs="Arial"/>
          <w:sz w:val="22"/>
          <w:szCs w:val="22"/>
        </w:rPr>
        <w:t xml:space="preserve">Kuigi </w:t>
      </w:r>
      <w:r w:rsidR="0063251E">
        <w:rPr>
          <w:rFonts w:cs="Arial"/>
          <w:sz w:val="22"/>
          <w:szCs w:val="22"/>
        </w:rPr>
        <w:t>seadusandja ei muutnud</w:t>
      </w:r>
      <w:r>
        <w:rPr>
          <w:rFonts w:cs="Arial"/>
          <w:sz w:val="22"/>
          <w:szCs w:val="22"/>
        </w:rPr>
        <w:t xml:space="preserve"> ATKEAS-t, siis seletuskirjas on seadusandja väljendanud ootust netomõõdetud elektrienergia koguseid kasutada ka elektriaktsiisi eest arveldamisel:</w:t>
      </w:r>
    </w:p>
    <w:p w14:paraId="595028B8" w14:textId="77777777" w:rsidR="0098174A" w:rsidRDefault="0098174A" w:rsidP="00593CBE">
      <w:pPr>
        <w:pStyle w:val="Kirjatekst"/>
      </w:pPr>
    </w:p>
    <w:p w14:paraId="52D3397F" w14:textId="1E27B151" w:rsidR="00593CBE" w:rsidRPr="0000590B" w:rsidRDefault="0098174A" w:rsidP="00593CBE">
      <w:pPr>
        <w:pStyle w:val="Kirjatekst"/>
        <w:rPr>
          <w:i/>
          <w:iCs/>
        </w:rPr>
      </w:pPr>
      <w:r w:rsidRPr="0000590B">
        <w:rPr>
          <w:i/>
          <w:iCs/>
        </w:rPr>
        <w:t>T</w:t>
      </w:r>
      <w:r w:rsidR="004C5318" w:rsidRPr="0000590B">
        <w:rPr>
          <w:i/>
          <w:iCs/>
        </w:rPr>
        <w:t>a</w:t>
      </w:r>
      <w:r w:rsidR="00593CBE" w:rsidRPr="0000590B">
        <w:rPr>
          <w:i/>
          <w:iCs/>
        </w:rPr>
        <w:t xml:space="preserve">rbijate arvete esitamisel </w:t>
      </w:r>
      <w:r w:rsidRPr="0000590B">
        <w:rPr>
          <w:i/>
          <w:iCs/>
        </w:rPr>
        <w:t xml:space="preserve">võetakse </w:t>
      </w:r>
      <w:r w:rsidR="00593CBE" w:rsidRPr="0000590B">
        <w:rPr>
          <w:i/>
          <w:iCs/>
        </w:rPr>
        <w:t>edaspidi kasutusele kauplemisperioodil netomõõtmine. Netomõõtmisel kasutusel olev bilansiperiood on 60-minutiline või 15</w:t>
      </w:r>
      <w:r w:rsidR="00593CBE" w:rsidRPr="0000590B">
        <w:rPr>
          <w:i/>
          <w:iCs/>
        </w:rPr>
        <w:noBreakHyphen/>
        <w:t xml:space="preserve">minutiline periood sõltuvalt sellest, millise perioodiga andmeid võrguettevõtjad andmevahetusplatvormile esitavad. Muudatuse eesmärk on muuta senist lähenemist, mille järgi tarbijatele, kelle mõõtepunktis asub nii tootmine kui ka tarbimine, esitatakse arve, kus tarbitud ja toodetud elektrienergia koguseid faaside vahel ja kauplemisperioodil ei saldeerita. Muudatuse jõustumisel saadavad võrguettevõtjad peale praegu andmevahetusplatvormile (AVP) esitatavate kahesuunaliste andmete ka kauplemisperioodil netomõõdetud andmed, et turuosalised saaksid neid andmeid kasutada tarbijatele arvete esitamiseks. Kauplemisperioodil netomõõtmine rakendub kogu elektriarvele ja selle komponentidele. </w:t>
      </w:r>
    </w:p>
    <w:p w14:paraId="55D6637C" w14:textId="77777777" w:rsidR="0000590B" w:rsidRPr="0000590B" w:rsidRDefault="0000590B" w:rsidP="00593CBE">
      <w:pPr>
        <w:pStyle w:val="Kirjatekst"/>
        <w:rPr>
          <w:i/>
          <w:iCs/>
        </w:rPr>
      </w:pPr>
    </w:p>
    <w:p w14:paraId="0C5197BA" w14:textId="562EA0A9" w:rsidR="00593CBE" w:rsidRPr="0000590B" w:rsidRDefault="00593CBE" w:rsidP="00593CBE">
      <w:pPr>
        <w:pStyle w:val="Kirjatekst"/>
        <w:rPr>
          <w:i/>
          <w:iCs/>
        </w:rPr>
      </w:pPr>
      <w:r w:rsidRPr="0000590B">
        <w:rPr>
          <w:i/>
          <w:iCs/>
        </w:rPr>
        <w:t>Näide: Tarbija tarbib kauplemisperioodil järgmiselt:</w:t>
      </w:r>
    </w:p>
    <w:p w14:paraId="31368533" w14:textId="77777777" w:rsidR="00593CBE" w:rsidRPr="0000590B" w:rsidRDefault="00593CBE" w:rsidP="00593CBE">
      <w:pPr>
        <w:pStyle w:val="ListParagraph"/>
        <w:numPr>
          <w:ilvl w:val="0"/>
          <w:numId w:val="11"/>
        </w:numPr>
        <w:tabs>
          <w:tab w:val="left" w:pos="1956"/>
        </w:tabs>
        <w:spacing w:after="120" w:line="240" w:lineRule="auto"/>
        <w:rPr>
          <w:bCs/>
          <w:i/>
          <w:iCs/>
        </w:rPr>
      </w:pPr>
      <w:r w:rsidRPr="0000590B">
        <w:rPr>
          <w:bCs/>
          <w:i/>
          <w:iCs/>
        </w:rPr>
        <w:t>faas 1 kaudu toodab elektrit 1 kW, tarbib 0,5 kW (kauplemisperioodil võib tootmine ja tarbimine muutuda);</w:t>
      </w:r>
    </w:p>
    <w:p w14:paraId="13A0CC13" w14:textId="77777777" w:rsidR="00593CBE" w:rsidRPr="0000590B" w:rsidRDefault="00593CBE" w:rsidP="00593CBE">
      <w:pPr>
        <w:pStyle w:val="ListParagraph"/>
        <w:numPr>
          <w:ilvl w:val="0"/>
          <w:numId w:val="11"/>
        </w:numPr>
        <w:tabs>
          <w:tab w:val="left" w:pos="1956"/>
        </w:tabs>
        <w:spacing w:after="120" w:line="240" w:lineRule="auto"/>
        <w:rPr>
          <w:bCs/>
          <w:i/>
          <w:iCs/>
        </w:rPr>
      </w:pPr>
      <w:r w:rsidRPr="0000590B">
        <w:rPr>
          <w:bCs/>
          <w:i/>
          <w:iCs/>
        </w:rPr>
        <w:t>faas 2 kaudu toodab elektrit 2 kW, tarbib 1 kW;</w:t>
      </w:r>
    </w:p>
    <w:p w14:paraId="1AC1A083" w14:textId="77777777" w:rsidR="00593CBE" w:rsidRPr="0000590B" w:rsidRDefault="00593CBE" w:rsidP="00593CBE">
      <w:pPr>
        <w:pStyle w:val="ListParagraph"/>
        <w:numPr>
          <w:ilvl w:val="0"/>
          <w:numId w:val="11"/>
        </w:numPr>
        <w:tabs>
          <w:tab w:val="left" w:pos="1956"/>
        </w:tabs>
        <w:spacing w:after="120" w:line="240" w:lineRule="auto"/>
        <w:rPr>
          <w:bCs/>
          <w:i/>
          <w:iCs/>
        </w:rPr>
      </w:pPr>
      <w:r w:rsidRPr="0000590B">
        <w:rPr>
          <w:bCs/>
          <w:i/>
          <w:iCs/>
        </w:rPr>
        <w:t>faas 3 kaudu toodab elektrit 0 kW, tarbib 2,5 kW.</w:t>
      </w:r>
    </w:p>
    <w:p w14:paraId="1137907E" w14:textId="77777777" w:rsidR="00593CBE" w:rsidRPr="0000590B" w:rsidRDefault="00593CBE" w:rsidP="00593CBE">
      <w:pPr>
        <w:tabs>
          <w:tab w:val="left" w:pos="1956"/>
        </w:tabs>
        <w:spacing w:after="120"/>
        <w:jc w:val="both"/>
        <w:rPr>
          <w:bCs/>
          <w:i/>
          <w:iCs/>
          <w:sz w:val="22"/>
          <w:szCs w:val="22"/>
        </w:rPr>
      </w:pPr>
      <w:r w:rsidRPr="0000590B">
        <w:rPr>
          <w:bCs/>
          <w:i/>
          <w:iCs/>
          <w:sz w:val="22"/>
          <w:szCs w:val="22"/>
        </w:rPr>
        <w:t>Sellisel juhul edastab võrguettevõtja AVP-sse kahesuunalised mõõteandmed kauplemisperioodil mõõtepunktis toimunud tarbimise ja tootmise kohta:</w:t>
      </w:r>
    </w:p>
    <w:p w14:paraId="1BAEEF84" w14:textId="77777777" w:rsidR="00593CBE" w:rsidRPr="0000590B" w:rsidRDefault="00593CBE" w:rsidP="00593CBE">
      <w:pPr>
        <w:pStyle w:val="ListParagraph"/>
        <w:numPr>
          <w:ilvl w:val="0"/>
          <w:numId w:val="11"/>
        </w:numPr>
        <w:tabs>
          <w:tab w:val="left" w:pos="1956"/>
        </w:tabs>
        <w:spacing w:after="120" w:line="240" w:lineRule="auto"/>
        <w:rPr>
          <w:bCs/>
          <w:i/>
          <w:iCs/>
        </w:rPr>
      </w:pPr>
      <w:r w:rsidRPr="0000590B">
        <w:rPr>
          <w:bCs/>
          <w:i/>
          <w:iCs/>
        </w:rPr>
        <w:t>tarbimine = 0,5 kWh + 1 kWh + 2,5 kWh = 4 kWh;</w:t>
      </w:r>
    </w:p>
    <w:p w14:paraId="21276835" w14:textId="77777777" w:rsidR="00593CBE" w:rsidRPr="0000590B" w:rsidRDefault="00593CBE" w:rsidP="00593CBE">
      <w:pPr>
        <w:pStyle w:val="ListParagraph"/>
        <w:numPr>
          <w:ilvl w:val="0"/>
          <w:numId w:val="11"/>
        </w:numPr>
        <w:tabs>
          <w:tab w:val="left" w:pos="1956"/>
        </w:tabs>
        <w:spacing w:after="120" w:line="240" w:lineRule="auto"/>
        <w:rPr>
          <w:bCs/>
          <w:i/>
          <w:iCs/>
        </w:rPr>
      </w:pPr>
      <w:r w:rsidRPr="0000590B">
        <w:rPr>
          <w:bCs/>
          <w:i/>
          <w:iCs/>
        </w:rPr>
        <w:t>tootmine = 1 kWh + 2 kWh = 3 kWh.</w:t>
      </w:r>
    </w:p>
    <w:p w14:paraId="7FD57724" w14:textId="77777777" w:rsidR="00593CBE" w:rsidRPr="0000590B" w:rsidRDefault="00593CBE" w:rsidP="00593CBE">
      <w:pPr>
        <w:tabs>
          <w:tab w:val="left" w:pos="1956"/>
        </w:tabs>
        <w:spacing w:after="120"/>
        <w:jc w:val="both"/>
        <w:rPr>
          <w:bCs/>
          <w:i/>
          <w:iCs/>
          <w:sz w:val="22"/>
          <w:szCs w:val="22"/>
        </w:rPr>
      </w:pPr>
      <w:r w:rsidRPr="0000590B">
        <w:rPr>
          <w:bCs/>
          <w:i/>
          <w:iCs/>
          <w:sz w:val="22"/>
          <w:szCs w:val="22"/>
        </w:rPr>
        <w:t>Lisaks kahesuunalistele andmetele edastab võrguettevõtja AVP-sse kauplemisperioodil netomõõdetud andmed ehk eelneva näite järgi on kauplemisperioodil netomõõdetud tarbimine 4 kWh – 3 kWh = 1 kWh.</w:t>
      </w:r>
    </w:p>
    <w:p w14:paraId="3B48A1A1" w14:textId="7C5C7CB5" w:rsidR="00593CBE" w:rsidRPr="0000590B" w:rsidRDefault="00593CBE" w:rsidP="00593CBE">
      <w:pPr>
        <w:tabs>
          <w:tab w:val="left" w:pos="1956"/>
        </w:tabs>
        <w:spacing w:after="120"/>
        <w:jc w:val="both"/>
        <w:rPr>
          <w:bCs/>
          <w:i/>
          <w:iCs/>
          <w:sz w:val="22"/>
          <w:szCs w:val="22"/>
        </w:rPr>
      </w:pPr>
      <w:r w:rsidRPr="0000590B">
        <w:rPr>
          <w:bCs/>
          <w:i/>
          <w:iCs/>
          <w:sz w:val="22"/>
          <w:szCs w:val="22"/>
        </w:rPr>
        <w:lastRenderedPageBreak/>
        <w:t xml:space="preserve">Kui tarbija maksab praegu kogu 4 kWh elektri eest elektrienergia edastustasu, taastuvenergiatasu </w:t>
      </w:r>
      <w:r w:rsidRPr="003447C4">
        <w:rPr>
          <w:b/>
          <w:i/>
          <w:iCs/>
          <w:sz w:val="22"/>
          <w:szCs w:val="22"/>
        </w:rPr>
        <w:t>ja elektriaktsiisi, siis tulevikus teeb ta seda kauplemisperioodil netomõõdetud koguste eest ehk eelneva näite järgi 1 kWh tarbitud elektri eest</w:t>
      </w:r>
      <w:r w:rsidRPr="0000590B">
        <w:rPr>
          <w:bCs/>
          <w:i/>
          <w:iCs/>
          <w:sz w:val="22"/>
          <w:szCs w:val="22"/>
        </w:rPr>
        <w:t xml:space="preserve">. Kui kauplemisperioodil tootmine ületab tarbimist näiteks 1 kWh võrra, siis maksab tarbija kauplemisperioodil elektrienergia edastustasu, taastuvenergiatasu ja elektriaktsiisi 1 kWh elektrivõrku toodetud elektri eest. Kuna elektrivõrku tootmise eest ei maksa Eesti tarbijad elektrienergia edastustasu, taastuvenergiatasu ja elektriaktsiisi, siis olukorras, kus kauplemisperioodil toodetud elektrikogus ületab samal perioodil tarbitud elektrikogust, tarbija eelnimetatud tasusid ei tasu. </w:t>
      </w:r>
    </w:p>
    <w:p w14:paraId="0C41F727" w14:textId="0C22A3AB" w:rsidR="00437AD9" w:rsidRPr="00BA4850" w:rsidRDefault="00BA4850" w:rsidP="002E3988">
      <w:pPr>
        <w:jc w:val="both"/>
        <w:rPr>
          <w:b/>
          <w:sz w:val="22"/>
          <w:szCs w:val="22"/>
        </w:rPr>
      </w:pPr>
      <w:r w:rsidRPr="00BA4850">
        <w:rPr>
          <w:b/>
          <w:sz w:val="22"/>
          <w:szCs w:val="22"/>
        </w:rPr>
        <w:t>Elektriaktsiisi ar</w:t>
      </w:r>
      <w:r w:rsidR="00A4013A">
        <w:rPr>
          <w:b/>
          <w:sz w:val="22"/>
          <w:szCs w:val="22"/>
        </w:rPr>
        <w:t>vestamine</w:t>
      </w:r>
      <w:r w:rsidRPr="00BA4850">
        <w:rPr>
          <w:b/>
          <w:sz w:val="22"/>
          <w:szCs w:val="22"/>
        </w:rPr>
        <w:t xml:space="preserve"> ja tasumine</w:t>
      </w:r>
    </w:p>
    <w:p w14:paraId="0B18822C" w14:textId="77777777" w:rsidR="00BA4850" w:rsidRDefault="00BA4850" w:rsidP="002E3988">
      <w:pPr>
        <w:jc w:val="both"/>
        <w:rPr>
          <w:bCs/>
          <w:sz w:val="22"/>
          <w:szCs w:val="22"/>
        </w:rPr>
      </w:pPr>
    </w:p>
    <w:p w14:paraId="5033C7B2" w14:textId="2AB66638" w:rsidR="009F3D1D" w:rsidRDefault="009F3D1D" w:rsidP="00593CBE">
      <w:pPr>
        <w:pStyle w:val="Kirjatekst"/>
      </w:pPr>
      <w:r>
        <w:t>Kui algselt oli Kliimaministeeriumil kavas koos elektrituruseaduse muutmise seaduse</w:t>
      </w:r>
      <w:r w:rsidR="001E74B3">
        <w:t>ga muuta ka ATKEAS-t, siis Rahandusministeerium jättis ATKEAS-e muudatused kooskõlastamata</w:t>
      </w:r>
      <w:r w:rsidR="00C63D71">
        <w:t>, peaasjalikult põhjusel, et:</w:t>
      </w:r>
    </w:p>
    <w:p w14:paraId="641F08C8" w14:textId="3075B150" w:rsidR="00C63D71" w:rsidRDefault="00C63D71" w:rsidP="00C63D71">
      <w:pPr>
        <w:pStyle w:val="Kirjatekst"/>
        <w:numPr>
          <w:ilvl w:val="0"/>
          <w:numId w:val="12"/>
        </w:numPr>
      </w:pPr>
      <w:r>
        <w:t>maksuhalduri jaoks on salvestusüksuseid käitavad ettevõtjad tuvastamatud;</w:t>
      </w:r>
    </w:p>
    <w:p w14:paraId="1F4546AA" w14:textId="04E6B587" w:rsidR="00C63D71" w:rsidRDefault="00DC34FB" w:rsidP="00C63D71">
      <w:pPr>
        <w:pStyle w:val="Kirjatekst"/>
        <w:numPr>
          <w:ilvl w:val="0"/>
          <w:numId w:val="12"/>
        </w:numPr>
      </w:pPr>
      <w:r>
        <w:t xml:space="preserve">salvestusüksuse omatarvet ei maksustata mitmekordselt ja </w:t>
      </w:r>
      <w:r w:rsidR="00687564">
        <w:t>omatarbe aktsiisist vabastamine on põhjendamatu;</w:t>
      </w:r>
    </w:p>
    <w:p w14:paraId="1041BDBA" w14:textId="628E1118" w:rsidR="00687564" w:rsidRDefault="00687564" w:rsidP="00C63D71">
      <w:pPr>
        <w:pStyle w:val="Kirjatekst"/>
        <w:numPr>
          <w:ilvl w:val="0"/>
          <w:numId w:val="12"/>
        </w:numPr>
      </w:pPr>
      <w:r>
        <w:t>muudatus tooks kaasa elektriaktsiisi administreerimiseks kasutatava infosüsteemi muutmise vajaduse, milleks puuduvad rahalised vahendid;</w:t>
      </w:r>
    </w:p>
    <w:p w14:paraId="55FD2D27" w14:textId="634E90C8" w:rsidR="00687564" w:rsidRDefault="00B36256" w:rsidP="00C63D71">
      <w:pPr>
        <w:pStyle w:val="Kirjatekst"/>
        <w:numPr>
          <w:ilvl w:val="0"/>
          <w:numId w:val="12"/>
        </w:numPr>
      </w:pPr>
      <w:r>
        <w:t>ettepanekul puudub mõjuanalüüs</w:t>
      </w:r>
      <w:r w:rsidR="00B764DE">
        <w:t>;</w:t>
      </w:r>
    </w:p>
    <w:p w14:paraId="3FA7FEFD" w14:textId="5A0A42FF" w:rsidR="00B764DE" w:rsidRDefault="00E408FC" w:rsidP="00C63D71">
      <w:pPr>
        <w:pStyle w:val="Kirjatekst"/>
        <w:numPr>
          <w:ilvl w:val="0"/>
          <w:numId w:val="12"/>
        </w:numPr>
      </w:pPr>
      <w:r>
        <w:t>aktsiisimaksukohustus või selle vähendamine seatakse sõltuvusse asjaoludest, mis ei pruugi neile endile teada olla</w:t>
      </w:r>
      <w:r w:rsidR="00EE4AB0">
        <w:t xml:space="preserve">. </w:t>
      </w:r>
    </w:p>
    <w:p w14:paraId="1374E043" w14:textId="77777777" w:rsidR="00EE4AB0" w:rsidRDefault="00EE4AB0" w:rsidP="00EE4AB0">
      <w:pPr>
        <w:pStyle w:val="Kirjatekst"/>
      </w:pPr>
    </w:p>
    <w:p w14:paraId="05B1694C" w14:textId="327C374D" w:rsidR="00EE4AB0" w:rsidRDefault="00451C05" w:rsidP="00EE4AB0">
      <w:pPr>
        <w:pStyle w:val="Kirjatekst"/>
      </w:pPr>
      <w:r>
        <w:t xml:space="preserve">Olenemata ATKEAS-e muudatuste tegemata jätmisest on seadusandjal eelnõu seletuskirja kohaselt </w:t>
      </w:r>
      <w:r w:rsidR="0068023D">
        <w:t>ootus</w:t>
      </w:r>
      <w:r>
        <w:t xml:space="preserve">, et </w:t>
      </w:r>
      <w:r w:rsidR="00166F95">
        <w:t xml:space="preserve">võrguettevõtjad ei arvestaks </w:t>
      </w:r>
      <w:r>
        <w:t>salvestatud elektrienergia pealt elektriaktsiisi</w:t>
      </w:r>
      <w:r w:rsidR="009B0657">
        <w:t xml:space="preserve">. Samuti soovib seadusandja, et </w:t>
      </w:r>
      <w:r w:rsidR="008759E8">
        <w:t xml:space="preserve">alates 01.08.2026 maksaksid kõik tarbijad, kes on samaaegselt ka tootjad, elektriaktsiisi saldeeritud ehk arvutuslikelt elektrienergia kogustelt. </w:t>
      </w:r>
    </w:p>
    <w:p w14:paraId="06CCEC8F" w14:textId="77777777" w:rsidR="00E408FC" w:rsidRDefault="00E408FC" w:rsidP="00EE4AB0">
      <w:pPr>
        <w:pStyle w:val="Kirjatekst"/>
      </w:pPr>
    </w:p>
    <w:p w14:paraId="7BEACAFA" w14:textId="2860FB00" w:rsidR="00E61C10" w:rsidRDefault="008759E8" w:rsidP="00593CBE">
      <w:pPr>
        <w:pStyle w:val="Kirjatekst"/>
      </w:pPr>
      <w:r>
        <w:t xml:space="preserve">Kehtiva </w:t>
      </w:r>
      <w:r w:rsidR="00122D43">
        <w:t>ATKEAS</w:t>
      </w:r>
      <w:r w:rsidR="00B03ECD" w:rsidRPr="003E5CEF">
        <w:t xml:space="preserve"> § 24 lg 6</w:t>
      </w:r>
      <w:r w:rsidR="00B03ECD" w:rsidRPr="000A0E3E">
        <w:rPr>
          <w:vertAlign w:val="superscript"/>
        </w:rPr>
        <w:t>3</w:t>
      </w:r>
      <w:r w:rsidR="00B03ECD" w:rsidRPr="003E5CEF">
        <w:t xml:space="preserve"> esimese lause alusel tekib </w:t>
      </w:r>
      <w:r w:rsidR="001424E7">
        <w:t xml:space="preserve">elektrienergia </w:t>
      </w:r>
      <w:r w:rsidR="00B03ECD" w:rsidRPr="003E5CEF">
        <w:t>võrguettevõtjal maksukohustus elektrienergia kasutusele võtmisel tarbimiseks ja edastamisel sellisele tarbijale, kes ei ole võrguettevõtja.</w:t>
      </w:r>
      <w:r w:rsidR="00B03ECD">
        <w:t xml:space="preserve"> </w:t>
      </w:r>
      <w:r w:rsidR="00882253">
        <w:t xml:space="preserve">ATKEAS § 33 lg </w:t>
      </w:r>
      <w:r w:rsidR="0016674F">
        <w:t xml:space="preserve">4 järgi peavad elektriaktsiisi maksja mõõtma oma tarbitava ja tarbijale või muule isikule edastatud elektrienergia kogust. </w:t>
      </w:r>
    </w:p>
    <w:p w14:paraId="565A57D2" w14:textId="77777777" w:rsidR="00DC0D44" w:rsidRDefault="00DC0D44" w:rsidP="00593CBE">
      <w:pPr>
        <w:pStyle w:val="Kirjatekst"/>
      </w:pPr>
    </w:p>
    <w:p w14:paraId="75478AC1" w14:textId="4ECB5D6E" w:rsidR="00DC0D44" w:rsidRDefault="00DC0D44" w:rsidP="00593CBE">
      <w:pPr>
        <w:pStyle w:val="Kirjatekst"/>
      </w:pPr>
      <w:r>
        <w:t xml:space="preserve">Tarbijale edastatud elektrienergia koguseid mõõdab võrguettevõtja liitumispunkti paigaldatud mõõteseadmetega. </w:t>
      </w:r>
      <w:r w:rsidR="00996AEF">
        <w:t>Nii on Elektrilevi s</w:t>
      </w:r>
      <w:r w:rsidR="00F25BE4">
        <w:t xml:space="preserve">enises praktikas </w:t>
      </w:r>
      <w:r w:rsidR="005E48C5">
        <w:t xml:space="preserve">arveldanud </w:t>
      </w:r>
      <w:r w:rsidR="00F25BE4">
        <w:t xml:space="preserve">ühtede elektrienergia kogustega: nendega, mida on mõõtnud </w:t>
      </w:r>
      <w:r w:rsidR="00937B04">
        <w:t xml:space="preserve">võrguettevõtja </w:t>
      </w:r>
      <w:r w:rsidR="00F25BE4">
        <w:t xml:space="preserve">mõõteseade. </w:t>
      </w:r>
      <w:r w:rsidR="00937B04">
        <w:t>Pärast ELTS-i muudatuste</w:t>
      </w:r>
      <w:r w:rsidR="00765FBC">
        <w:t xml:space="preserve"> jõustumist </w:t>
      </w:r>
      <w:r w:rsidR="006635C2">
        <w:t>tekivad</w:t>
      </w:r>
      <w:r w:rsidR="00765FBC">
        <w:t xml:space="preserve"> kolmed </w:t>
      </w:r>
      <w:r w:rsidR="00A56EA8">
        <w:t>tarbimisandmed</w:t>
      </w:r>
      <w:r w:rsidR="00765FBC">
        <w:t>:</w:t>
      </w:r>
    </w:p>
    <w:p w14:paraId="3C0EEA5F" w14:textId="0721D5C5" w:rsidR="00765FBC" w:rsidRDefault="00765FBC" w:rsidP="00765FBC">
      <w:pPr>
        <w:pStyle w:val="Kirjatekst"/>
        <w:numPr>
          <w:ilvl w:val="0"/>
          <w:numId w:val="12"/>
        </w:numPr>
      </w:pPr>
      <w:r>
        <w:t>mõõteseadmega mõõdetud elektrienergia kogused;</w:t>
      </w:r>
    </w:p>
    <w:p w14:paraId="3C1130A7" w14:textId="2C52672C" w:rsidR="00765FBC" w:rsidRDefault="00765FBC" w:rsidP="00765FBC">
      <w:pPr>
        <w:pStyle w:val="Kirjatekst"/>
        <w:numPr>
          <w:ilvl w:val="0"/>
          <w:numId w:val="12"/>
        </w:numPr>
      </w:pPr>
      <w:r>
        <w:t>kuupõhiselt salvestatud elektrienergia</w:t>
      </w:r>
      <w:r w:rsidR="00252608">
        <w:t xml:space="preserve"> saldeeritud</w:t>
      </w:r>
      <w:r>
        <w:t xml:space="preserve"> kogused;</w:t>
      </w:r>
    </w:p>
    <w:p w14:paraId="41F6743D" w14:textId="0C241CFA" w:rsidR="00765FBC" w:rsidRDefault="00765FBC" w:rsidP="00765FBC">
      <w:pPr>
        <w:pStyle w:val="Kirjatekst"/>
        <w:numPr>
          <w:ilvl w:val="0"/>
          <w:numId w:val="12"/>
        </w:numPr>
      </w:pPr>
      <w:r>
        <w:t xml:space="preserve">kauplemisperioodil </w:t>
      </w:r>
      <w:r w:rsidR="00C65E44">
        <w:t xml:space="preserve">(15-min) </w:t>
      </w:r>
      <w:r>
        <w:t xml:space="preserve">saldeeritud </w:t>
      </w:r>
      <w:r w:rsidR="0039086D">
        <w:t xml:space="preserve">elektrienergia kogused. </w:t>
      </w:r>
    </w:p>
    <w:p w14:paraId="3A30E48E" w14:textId="77777777" w:rsidR="0039086D" w:rsidRDefault="0039086D" w:rsidP="0039086D">
      <w:pPr>
        <w:pStyle w:val="Kirjatekst"/>
      </w:pPr>
    </w:p>
    <w:p w14:paraId="4D2E4B70" w14:textId="142A78B2" w:rsidR="007A1128" w:rsidRDefault="007A1128" w:rsidP="0039086D">
      <w:pPr>
        <w:pStyle w:val="Kirjatekst"/>
      </w:pPr>
      <w:r>
        <w:t>Võrguühenduse kasutust</w:t>
      </w:r>
      <w:r w:rsidR="006D495F">
        <w:t xml:space="preserve">, st kokkulepitud läbilaskevõimest kinnipidamist kontrollib võrguettevõtja tegelike mõõteandmete alusel, kuid võrguteenuse edastamistasu ja taastuvenergia tasu hakkab võrguettevõtja esitama saldeeritud </w:t>
      </w:r>
      <w:r w:rsidR="0076747C">
        <w:t xml:space="preserve">või netomõõdetud </w:t>
      </w:r>
      <w:r w:rsidR="006D495F">
        <w:t xml:space="preserve">elektrienergia koguste alusel. </w:t>
      </w:r>
    </w:p>
    <w:p w14:paraId="0FD84369" w14:textId="77777777" w:rsidR="002669C0" w:rsidRDefault="002669C0" w:rsidP="0039086D">
      <w:pPr>
        <w:pStyle w:val="Kirjatekst"/>
      </w:pPr>
    </w:p>
    <w:p w14:paraId="45AC50FD" w14:textId="35CCA9E8" w:rsidR="002669C0" w:rsidRDefault="002669C0" w:rsidP="0039086D">
      <w:pPr>
        <w:pStyle w:val="Kirjatekst"/>
      </w:pPr>
      <w:r>
        <w:t>Küll aga on Elektrilevil tõusetunud küsimus, kas arvestades ELTS-is jõustuvaid saldeerimise põhimõtteid tuleb ATKEAS</w:t>
      </w:r>
      <w:r w:rsidRPr="003E5CEF">
        <w:t xml:space="preserve"> § 24 lg 6</w:t>
      </w:r>
      <w:r w:rsidRPr="000A0E3E">
        <w:rPr>
          <w:vertAlign w:val="superscript"/>
        </w:rPr>
        <w:t>3</w:t>
      </w:r>
      <w:r>
        <w:rPr>
          <w:vertAlign w:val="superscript"/>
        </w:rPr>
        <w:t xml:space="preserve"> </w:t>
      </w:r>
      <w:r>
        <w:t>rakendamisel aluseks võtta</w:t>
      </w:r>
      <w:r w:rsidR="00174DD3">
        <w:t xml:space="preserve"> tegelikult võrgust tarbitud elektrienergia kogused (</w:t>
      </w:r>
      <w:r w:rsidR="001331AA">
        <w:t>mõõdetud kogused</w:t>
      </w:r>
      <w:r w:rsidR="00174DD3">
        <w:t>) või saldeeritud elektrienergia kogused</w:t>
      </w:r>
      <w:r w:rsidR="001331AA">
        <w:t xml:space="preserve"> (arvutuslikud kogused)</w:t>
      </w:r>
      <w:r w:rsidR="00174DD3">
        <w:t>. Juhul, kui elektriaktsiisi tuleb arvestada tegelik</w:t>
      </w:r>
      <w:r w:rsidR="00076C4A">
        <w:t xml:space="preserve">ult võrgust võetud elektrienergia kogustelt, siis kujuneb </w:t>
      </w:r>
      <w:r w:rsidR="00C746A9">
        <w:t xml:space="preserve">võrguteenuse- ja elektriarve kahe erineva elektrienergia koguse alusel: </w:t>
      </w:r>
    </w:p>
    <w:p w14:paraId="5D8FD2C5" w14:textId="3279B042" w:rsidR="00C746A9" w:rsidRDefault="00C746A9" w:rsidP="00C746A9">
      <w:pPr>
        <w:pStyle w:val="Kirjatekst"/>
        <w:numPr>
          <w:ilvl w:val="0"/>
          <w:numId w:val="12"/>
        </w:numPr>
      </w:pPr>
      <w:r>
        <w:lastRenderedPageBreak/>
        <w:t>edastamistasu ja taastuvenergia tasu saldeeritud elektrienergia kogustelt;</w:t>
      </w:r>
    </w:p>
    <w:p w14:paraId="1B3A19A0" w14:textId="59385B03" w:rsidR="00C746A9" w:rsidRDefault="00C746A9" w:rsidP="00C746A9">
      <w:pPr>
        <w:pStyle w:val="Kirjatekst"/>
        <w:numPr>
          <w:ilvl w:val="0"/>
          <w:numId w:val="12"/>
        </w:numPr>
      </w:pPr>
      <w:r>
        <w:t xml:space="preserve">elektriaktsiis </w:t>
      </w:r>
      <w:r w:rsidR="00127D94">
        <w:t>tegelikult võrgust tarbitud elektrienergia kogustelt.</w:t>
      </w:r>
    </w:p>
    <w:p w14:paraId="79843F8C" w14:textId="77777777" w:rsidR="00127D94" w:rsidRDefault="00127D94" w:rsidP="00127D94">
      <w:pPr>
        <w:pStyle w:val="Kirjatekst"/>
      </w:pPr>
    </w:p>
    <w:p w14:paraId="7034F5BF" w14:textId="77777777" w:rsidR="00ED4000" w:rsidRDefault="00ED4000" w:rsidP="00127D94">
      <w:pPr>
        <w:pStyle w:val="Kirjatekst"/>
      </w:pPr>
    </w:p>
    <w:p w14:paraId="0CC88BBC" w14:textId="7FD66632" w:rsidR="00127D94" w:rsidRDefault="00A623D3" w:rsidP="00127D94">
      <w:pPr>
        <w:pStyle w:val="Kirjatekst"/>
      </w:pPr>
      <w:r>
        <w:t xml:space="preserve">Palume Rahandusministeeriumi seisukohta, kas arvestades ülalmainitud ELTS-i muudatusi tarbitud elektrienergia koguste </w:t>
      </w:r>
      <w:r w:rsidR="004068EA">
        <w:t>arvutamisel</w:t>
      </w:r>
      <w:r w:rsidR="00BA090E">
        <w:t xml:space="preserve"> </w:t>
      </w:r>
      <w:r w:rsidR="004068EA">
        <w:t>on asjakohane</w:t>
      </w:r>
      <w:r>
        <w:t xml:space="preserve"> </w:t>
      </w:r>
      <w:r w:rsidR="00E54178">
        <w:t xml:space="preserve">pärast muudatuste jõustumist ka ATKEAS § 24 </w:t>
      </w:r>
      <w:r w:rsidR="00E54178" w:rsidRPr="007B78C0">
        <w:t>lg 6</w:t>
      </w:r>
      <w:r w:rsidR="00E54178" w:rsidRPr="007B78C0">
        <w:rPr>
          <w:vertAlign w:val="superscript"/>
        </w:rPr>
        <w:t>3</w:t>
      </w:r>
      <w:r w:rsidR="00E54178" w:rsidRPr="007B78C0">
        <w:t xml:space="preserve"> </w:t>
      </w:r>
      <w:r w:rsidR="00E54178">
        <w:t>all mõista saldeeritud elektrienergia koguseid</w:t>
      </w:r>
      <w:r w:rsidR="005B747D">
        <w:t xml:space="preserve"> </w:t>
      </w:r>
      <w:r w:rsidR="00370682">
        <w:t xml:space="preserve">või </w:t>
      </w:r>
      <w:r w:rsidR="007B78C0">
        <w:t xml:space="preserve">tuleb ATKEAS § 24 </w:t>
      </w:r>
      <w:r w:rsidR="007B78C0" w:rsidRPr="007B78C0">
        <w:t>lg 6</w:t>
      </w:r>
      <w:r w:rsidR="007B78C0" w:rsidRPr="007B78C0">
        <w:rPr>
          <w:vertAlign w:val="superscript"/>
        </w:rPr>
        <w:t>3</w:t>
      </w:r>
      <w:r w:rsidR="007B78C0" w:rsidRPr="007B78C0">
        <w:t xml:space="preserve"> </w:t>
      </w:r>
      <w:r w:rsidR="009B4539">
        <w:t xml:space="preserve">rakendamisel </w:t>
      </w:r>
      <w:r w:rsidR="007B78C0">
        <w:t xml:space="preserve">lähtuda jätkuvalt </w:t>
      </w:r>
      <w:r w:rsidR="006B78B9">
        <w:t>arvestiga mõõdetud</w:t>
      </w:r>
      <w:r w:rsidR="002C6E4B">
        <w:t xml:space="preserve"> </w:t>
      </w:r>
      <w:r w:rsidR="00AC1ED2">
        <w:t>võrgust tarbitud</w:t>
      </w:r>
      <w:r w:rsidR="002C6E4B">
        <w:t xml:space="preserve"> elektrienergia kogustest</w:t>
      </w:r>
      <w:r w:rsidR="00AC1ED2">
        <w:t>. Viimasel juhul</w:t>
      </w:r>
      <w:r w:rsidR="002C6E4B">
        <w:t xml:space="preserve"> </w:t>
      </w:r>
      <w:r w:rsidR="00127D94">
        <w:t>m</w:t>
      </w:r>
      <w:r w:rsidR="002C6E4B">
        <w:t>uutub</w:t>
      </w:r>
      <w:r w:rsidR="00127D94">
        <w:t xml:space="preserve"> </w:t>
      </w:r>
      <w:r w:rsidR="00C70041">
        <w:t>aga</w:t>
      </w:r>
      <w:r w:rsidR="00127D94">
        <w:t xml:space="preserve"> tarbijat</w:t>
      </w:r>
      <w:r w:rsidR="00135B56">
        <w:t>e</w:t>
      </w:r>
      <w:r w:rsidR="00127D94">
        <w:t xml:space="preserve"> elektriarve kujunemi</w:t>
      </w:r>
      <w:r w:rsidR="00135B56">
        <w:t>ne</w:t>
      </w:r>
      <w:r w:rsidR="00127D94">
        <w:t xml:space="preserve"> raskesti jälgitavaks ning arveldamise </w:t>
      </w:r>
      <w:r w:rsidR="00135B56">
        <w:t xml:space="preserve">protsess </w:t>
      </w:r>
      <w:r w:rsidR="00081766">
        <w:t>ja tarbijate</w:t>
      </w:r>
      <w:r w:rsidR="00A85FE1">
        <w:t>le</w:t>
      </w:r>
      <w:r w:rsidR="00081766">
        <w:t xml:space="preserve"> info </w:t>
      </w:r>
      <w:r w:rsidR="00A85FE1">
        <w:t xml:space="preserve">jagamine </w:t>
      </w:r>
      <w:r w:rsidR="00135B56">
        <w:t>halduskoormuse mõttes kulukamaks ja keerukamaks</w:t>
      </w:r>
      <w:r w:rsidR="004352C1">
        <w:t xml:space="preserve">, kuivõrd </w:t>
      </w:r>
      <w:r w:rsidR="006D7235">
        <w:t>tasud ja maks</w:t>
      </w:r>
      <w:r w:rsidR="0086471A">
        <w:t>ud esitataks erinevate elektrienergia koguste alusel</w:t>
      </w:r>
      <w:r w:rsidR="00135B56">
        <w:t xml:space="preserve">. </w:t>
      </w:r>
      <w:r w:rsidR="00160FCE">
        <w:t xml:space="preserve">  </w:t>
      </w:r>
    </w:p>
    <w:p w14:paraId="09B94BA0" w14:textId="77777777" w:rsidR="00BF47E8" w:rsidRDefault="00BF47E8" w:rsidP="00127D94">
      <w:pPr>
        <w:pStyle w:val="Kirjatekst"/>
      </w:pPr>
    </w:p>
    <w:p w14:paraId="4EBD2D92" w14:textId="7A1FA026" w:rsidR="00BF47E8" w:rsidRPr="002669C0" w:rsidRDefault="00BF47E8" w:rsidP="00127D94">
      <w:pPr>
        <w:pStyle w:val="Kirjatekst"/>
      </w:pPr>
      <w:r>
        <w:t>Kui saldeerimise põhimõtted ja võrguteenuse eest arveldamine vaja</w:t>
      </w:r>
      <w:r w:rsidR="00633A74">
        <w:t>vad Elektrilevi poolt</w:t>
      </w:r>
      <w:r>
        <w:t xml:space="preserve"> põhjalikumat lahti selgitamist, siis oleme seda meeleldi valmis tegema. </w:t>
      </w:r>
    </w:p>
    <w:p w14:paraId="5B794FB3" w14:textId="77777777" w:rsidR="003168F4" w:rsidRDefault="003168F4" w:rsidP="00593CBE">
      <w:pPr>
        <w:pStyle w:val="Kirjatekst"/>
      </w:pPr>
    </w:p>
    <w:p w14:paraId="7B15D4F7" w14:textId="77777777" w:rsidR="0063571D" w:rsidRDefault="0063571D" w:rsidP="00593CBE">
      <w:pPr>
        <w:pStyle w:val="Kirjatekst"/>
      </w:pPr>
    </w:p>
    <w:p w14:paraId="55B49629" w14:textId="77777777" w:rsidR="0063571D" w:rsidRDefault="0063571D" w:rsidP="00593CBE">
      <w:pPr>
        <w:pStyle w:val="Kirjatekst"/>
      </w:pPr>
    </w:p>
    <w:p w14:paraId="206CEE9C" w14:textId="77777777" w:rsidR="00CA08D6" w:rsidRPr="00CA08D6" w:rsidRDefault="00CA08D6" w:rsidP="00593CBE">
      <w:pPr>
        <w:pStyle w:val="Kirjatekst"/>
        <w:rPr>
          <w:lang w:val="et-EE"/>
        </w:rPr>
      </w:pPr>
      <w:r w:rsidRPr="00CA08D6">
        <w:rPr>
          <w:lang w:val="et-EE"/>
        </w:rPr>
        <w:t>Lugupidamisega</w:t>
      </w:r>
    </w:p>
    <w:p w14:paraId="6119056E" w14:textId="77777777" w:rsidR="00160FCE" w:rsidRDefault="00160FCE" w:rsidP="00593CBE">
      <w:pPr>
        <w:pStyle w:val="Kirjatekst"/>
        <w:rPr>
          <w:lang w:val="et-EE"/>
        </w:rPr>
      </w:pPr>
    </w:p>
    <w:p w14:paraId="0E0A9AA3" w14:textId="6E5C2C36" w:rsidR="00CA08D6" w:rsidRPr="00CA08D6" w:rsidRDefault="00CA08D6" w:rsidP="00593CBE">
      <w:pPr>
        <w:pStyle w:val="Kirjatekst"/>
        <w:rPr>
          <w:lang w:val="et-EE"/>
        </w:rPr>
      </w:pPr>
      <w:r w:rsidRPr="00CA08D6">
        <w:rPr>
          <w:lang w:val="et-EE"/>
        </w:rPr>
        <w:t>/allkirjastatud digitaalselt/</w:t>
      </w:r>
    </w:p>
    <w:p w14:paraId="7D8757FC" w14:textId="17F249DF" w:rsidR="00D24041" w:rsidRDefault="00CA08D6" w:rsidP="00593CBE">
      <w:pPr>
        <w:pStyle w:val="Kirjatekst"/>
      </w:pPr>
      <w:r>
        <w:softHyphen/>
      </w:r>
    </w:p>
    <w:p w14:paraId="38F54A2A" w14:textId="78EA15E1" w:rsidR="00160FCE" w:rsidRDefault="00160FCE" w:rsidP="00593CBE">
      <w:pPr>
        <w:pStyle w:val="Kirjatekst"/>
      </w:pPr>
      <w:r>
        <w:t>Carmen Linnumäe</w:t>
      </w:r>
    </w:p>
    <w:p w14:paraId="56C165BF" w14:textId="235E4215" w:rsidR="00160FCE" w:rsidRDefault="00160FCE" w:rsidP="00593CBE">
      <w:pPr>
        <w:pStyle w:val="Kirjatekst"/>
      </w:pPr>
      <w:r>
        <w:t>Õigus- ja regulaatorsuhete üksuse juht</w:t>
      </w:r>
    </w:p>
    <w:p w14:paraId="6DD4F859" w14:textId="77777777" w:rsidR="00D24041" w:rsidRDefault="00D24041" w:rsidP="00593CBE">
      <w:pPr>
        <w:pStyle w:val="Kirjatekst"/>
      </w:pPr>
    </w:p>
    <w:p w14:paraId="5C77877F" w14:textId="77777777" w:rsidR="00D24041" w:rsidRDefault="00D24041" w:rsidP="00593CBE">
      <w:pPr>
        <w:pStyle w:val="Kirjatekst"/>
      </w:pPr>
    </w:p>
    <w:p w14:paraId="40BD6427" w14:textId="77777777" w:rsidR="00D24041" w:rsidRDefault="00D24041" w:rsidP="00D24041">
      <w:pPr>
        <w:rPr>
          <w:rFonts w:cs="Arial"/>
          <w:sz w:val="22"/>
          <w:szCs w:val="22"/>
        </w:rPr>
      </w:pPr>
    </w:p>
    <w:p w14:paraId="4D161076" w14:textId="5E363798" w:rsidR="00FC232A" w:rsidRDefault="00327614" w:rsidP="00742C52">
      <w:pPr>
        <w:rPr>
          <w:rFonts w:cs="Arial"/>
          <w:sz w:val="22"/>
          <w:szCs w:val="22"/>
        </w:rPr>
      </w:pPr>
      <w:r>
        <w:rPr>
          <w:rFonts w:cs="Arial"/>
          <w:sz w:val="22"/>
          <w:szCs w:val="22"/>
        </w:rPr>
        <w:t xml:space="preserve">Lisa 1 </w:t>
      </w:r>
      <w:r w:rsidR="009308E0">
        <w:rPr>
          <w:rFonts w:cs="Arial"/>
          <w:sz w:val="22"/>
          <w:szCs w:val="22"/>
        </w:rPr>
        <w:t>–</w:t>
      </w:r>
      <w:r>
        <w:rPr>
          <w:rFonts w:cs="Arial"/>
          <w:sz w:val="22"/>
          <w:szCs w:val="22"/>
        </w:rPr>
        <w:t xml:space="preserve"> Rahandusministeeriumi</w:t>
      </w:r>
      <w:r w:rsidR="009308E0">
        <w:rPr>
          <w:rFonts w:cs="Arial"/>
          <w:sz w:val="22"/>
          <w:szCs w:val="22"/>
        </w:rPr>
        <w:t xml:space="preserve"> tagasiside ELTS ja ATKEAS muutmise seaduse eelnõule;</w:t>
      </w:r>
    </w:p>
    <w:p w14:paraId="52D6A2A7" w14:textId="77777777" w:rsidR="00442D2B" w:rsidRPr="00742C52" w:rsidRDefault="00442D2B" w:rsidP="00742C52">
      <w:pPr>
        <w:rPr>
          <w:b/>
          <w:bCs/>
          <w:sz w:val="22"/>
          <w:szCs w:val="22"/>
        </w:rPr>
      </w:pPr>
    </w:p>
    <w:p w14:paraId="1D21C813" w14:textId="77777777" w:rsidR="00077D32" w:rsidRPr="00742C52" w:rsidRDefault="00077D32" w:rsidP="00742C52">
      <w:pPr>
        <w:rPr>
          <w:rFonts w:cs="Arial"/>
          <w:sz w:val="22"/>
          <w:szCs w:val="22"/>
        </w:rPr>
      </w:pPr>
    </w:p>
    <w:p w14:paraId="7E312A4E" w14:textId="77777777" w:rsidR="00077D32" w:rsidRPr="00742C52" w:rsidRDefault="00077D32" w:rsidP="00742C52">
      <w:pPr>
        <w:rPr>
          <w:sz w:val="22"/>
          <w:szCs w:val="22"/>
        </w:rPr>
      </w:pPr>
    </w:p>
    <w:sectPr w:rsidR="00077D32" w:rsidRPr="00742C52" w:rsidSect="00E47970">
      <w:headerReference w:type="even" r:id="rId12"/>
      <w:headerReference w:type="default" r:id="rId13"/>
      <w:footerReference w:type="even" r:id="rId14"/>
      <w:footerReference w:type="default" r:id="rId15"/>
      <w:headerReference w:type="first" r:id="rId16"/>
      <w:footerReference w:type="first" r:id="rId17"/>
      <w:pgSz w:w="11900" w:h="16840"/>
      <w:pgMar w:top="2155"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AF17" w14:textId="77777777" w:rsidR="005774AB" w:rsidRDefault="005774AB">
      <w:r>
        <w:separator/>
      </w:r>
    </w:p>
  </w:endnote>
  <w:endnote w:type="continuationSeparator" w:id="0">
    <w:p w14:paraId="65C6EF58" w14:textId="77777777" w:rsidR="005774AB" w:rsidRDefault="005774AB">
      <w:r>
        <w:continuationSeparator/>
      </w:r>
    </w:p>
  </w:endnote>
  <w:endnote w:type="continuationNotice" w:id="1">
    <w:p w14:paraId="6A1D1D0D" w14:textId="77777777" w:rsidR="005774AB" w:rsidRDefault="00577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A8B0" w14:textId="77777777" w:rsidR="00F6240F" w:rsidRDefault="00F62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95DC" w14:textId="77777777" w:rsidR="00F6240F" w:rsidRDefault="00F62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D98E" w14:textId="77777777" w:rsidR="00F6240F" w:rsidRDefault="00F62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ECEB" w14:textId="77777777" w:rsidR="005774AB" w:rsidRDefault="005774AB">
      <w:r>
        <w:separator/>
      </w:r>
    </w:p>
  </w:footnote>
  <w:footnote w:type="continuationSeparator" w:id="0">
    <w:p w14:paraId="59E455DF" w14:textId="77777777" w:rsidR="005774AB" w:rsidRDefault="005774AB">
      <w:r>
        <w:continuationSeparator/>
      </w:r>
    </w:p>
  </w:footnote>
  <w:footnote w:type="continuationNotice" w:id="1">
    <w:p w14:paraId="6EFE811E" w14:textId="77777777" w:rsidR="005774AB" w:rsidRDefault="005774AB"/>
  </w:footnote>
  <w:footnote w:id="2">
    <w:p w14:paraId="14721F60" w14:textId="0A63C8F4" w:rsidR="002651F8" w:rsidRPr="002651F8" w:rsidRDefault="002651F8">
      <w:pPr>
        <w:pStyle w:val="FootnoteText"/>
        <w:rPr>
          <w:lang w:val="et-EE"/>
        </w:rPr>
      </w:pPr>
      <w:r>
        <w:rPr>
          <w:rStyle w:val="FootnoteReference"/>
        </w:rPr>
        <w:footnoteRef/>
      </w:r>
      <w:r>
        <w:t xml:space="preserve"> </w:t>
      </w:r>
      <w:r>
        <w:rPr>
          <w:lang w:val="et-EE"/>
        </w:rPr>
        <w:t xml:space="preserve">Seletuskirja lk 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D2E8" w14:textId="77777777" w:rsidR="00F6240F" w:rsidRDefault="00F6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8A00" w14:textId="77777777" w:rsidR="00F6240F" w:rsidRDefault="00F62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9C73" w14:textId="44FCFC6A" w:rsidR="006736DE" w:rsidRDefault="00077D32">
    <w:pPr>
      <w:pStyle w:val="Header"/>
    </w:pPr>
    <w:r>
      <w:rPr>
        <w:noProof/>
      </w:rPr>
      <w:drawing>
        <wp:anchor distT="0" distB="0" distL="114300" distR="114300" simplePos="0" relativeHeight="251658240" behindDoc="0" locked="0" layoutInCell="1" allowOverlap="1" wp14:anchorId="31495006" wp14:editId="4A067F59">
          <wp:simplePos x="0" y="0"/>
          <wp:positionH relativeFrom="margin">
            <wp:posOffset>4024263</wp:posOffset>
          </wp:positionH>
          <wp:positionV relativeFrom="paragraph">
            <wp:posOffset>165247</wp:posOffset>
          </wp:positionV>
          <wp:extent cx="1879211" cy="88709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9211"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062"/>
    <w:multiLevelType w:val="hybridMultilevel"/>
    <w:tmpl w:val="C2E09F84"/>
    <w:lvl w:ilvl="0" w:tplc="873C9C0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E526C42"/>
    <w:multiLevelType w:val="hybridMultilevel"/>
    <w:tmpl w:val="C4522DA8"/>
    <w:lvl w:ilvl="0" w:tplc="AF68BB10">
      <w:start w:val="13"/>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3E667E8"/>
    <w:multiLevelType w:val="multilevel"/>
    <w:tmpl w:val="91EECEE0"/>
    <w:lvl w:ilvl="0">
      <w:start w:val="1"/>
      <w:numFmt w:val="decimal"/>
      <w:lvlText w:val="%1."/>
      <w:lvlJc w:val="left"/>
      <w:pPr>
        <w:ind w:left="567" w:hanging="567"/>
      </w:pPr>
      <w:rPr>
        <w:rFonts w:ascii="Calibri" w:hAnsi="Calibri" w:hint="default"/>
        <w:b/>
        <w:i w:val="0"/>
        <w:caps/>
        <w:smallCaps w:val="0"/>
        <w:vanish w:val="0"/>
        <w:sz w:val="20"/>
      </w:rPr>
    </w:lvl>
    <w:lvl w:ilvl="1">
      <w:start w:val="1"/>
      <w:numFmt w:val="decimal"/>
      <w:pStyle w:val="Level2"/>
      <w:lvlText w:val="%2."/>
      <w:lvlJc w:val="left"/>
      <w:pPr>
        <w:tabs>
          <w:tab w:val="num" w:pos="567"/>
        </w:tabs>
        <w:ind w:left="425" w:hanging="425"/>
      </w:pPr>
      <w:rPr>
        <w:rFonts w:hint="default"/>
        <w:b w:val="0"/>
        <w:i w:val="0"/>
        <w:caps w:val="0"/>
        <w:vanish w:val="0"/>
        <w:sz w:val="20"/>
      </w:rPr>
    </w:lvl>
    <w:lvl w:ilvl="2">
      <w:start w:val="1"/>
      <w:numFmt w:val="lowerLetter"/>
      <w:pStyle w:val="Level3"/>
      <w:lvlText w:val="%3)"/>
      <w:lvlJc w:val="left"/>
      <w:pPr>
        <w:ind w:left="709" w:hanging="284"/>
      </w:pPr>
      <w:rPr>
        <w:rFonts w:hint="default"/>
        <w:b w:val="0"/>
        <w:i w:val="0"/>
        <w:caps w:val="0"/>
        <w:vanish w:val="0"/>
        <w:color w:val="auto"/>
        <w:sz w:val="20"/>
      </w:rPr>
    </w:lvl>
    <w:lvl w:ilvl="3">
      <w:start w:val="1"/>
      <w:numFmt w:val="bullet"/>
      <w:pStyle w:val="Level4"/>
      <w:lvlText w:val="-"/>
      <w:lvlJc w:val="left"/>
      <w:pPr>
        <w:ind w:left="720" w:hanging="363"/>
      </w:pPr>
      <w:rPr>
        <w:rFonts w:ascii="Georgia" w:hAnsi="Georgia" w:hint="default"/>
      </w:rPr>
    </w:lvl>
    <w:lvl w:ilvl="4">
      <w:start w:val="1"/>
      <w:numFmt w:val="bullet"/>
      <w:pStyle w:val="Level5"/>
      <w:lvlText w:val=""/>
      <w:lvlJc w:val="left"/>
      <w:pPr>
        <w:ind w:left="1701" w:hanging="567"/>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0700290"/>
    <w:multiLevelType w:val="hybridMultilevel"/>
    <w:tmpl w:val="31AE4A22"/>
    <w:lvl w:ilvl="0" w:tplc="1DF20C9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C9E300C"/>
    <w:multiLevelType w:val="hybridMultilevel"/>
    <w:tmpl w:val="8974B4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E837633"/>
    <w:multiLevelType w:val="hybridMultilevel"/>
    <w:tmpl w:val="D3FAC0F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6EAE5A53"/>
    <w:multiLevelType w:val="hybridMultilevel"/>
    <w:tmpl w:val="C916C5D8"/>
    <w:lvl w:ilvl="0" w:tplc="873C9C0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3059836">
    <w:abstractNumId w:val="2"/>
  </w:num>
  <w:num w:numId="2" w16cid:durableId="1539471610">
    <w:abstractNumId w:val="2"/>
  </w:num>
  <w:num w:numId="3" w16cid:durableId="1211846081">
    <w:abstractNumId w:val="2"/>
  </w:num>
  <w:num w:numId="4" w16cid:durableId="274946052">
    <w:abstractNumId w:val="2"/>
  </w:num>
  <w:num w:numId="5" w16cid:durableId="656153406">
    <w:abstractNumId w:val="2"/>
  </w:num>
  <w:num w:numId="6" w16cid:durableId="1160728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2052906">
    <w:abstractNumId w:val="1"/>
  </w:num>
  <w:num w:numId="8" w16cid:durableId="1707947591">
    <w:abstractNumId w:val="5"/>
  </w:num>
  <w:num w:numId="9" w16cid:durableId="1422143460">
    <w:abstractNumId w:val="6"/>
  </w:num>
  <w:num w:numId="10" w16cid:durableId="2031450884">
    <w:abstractNumId w:val="0"/>
  </w:num>
  <w:num w:numId="11" w16cid:durableId="376781930">
    <w:abstractNumId w:val="4"/>
  </w:num>
  <w:num w:numId="12" w16cid:durableId="122749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0590B"/>
    <w:rsid w:val="00011A65"/>
    <w:rsid w:val="00015DF7"/>
    <w:rsid w:val="00016842"/>
    <w:rsid w:val="00023954"/>
    <w:rsid w:val="0003171F"/>
    <w:rsid w:val="00056813"/>
    <w:rsid w:val="00056E0C"/>
    <w:rsid w:val="00076C4A"/>
    <w:rsid w:val="00077D32"/>
    <w:rsid w:val="00081766"/>
    <w:rsid w:val="00085041"/>
    <w:rsid w:val="000943C7"/>
    <w:rsid w:val="0009585C"/>
    <w:rsid w:val="000A0E3E"/>
    <w:rsid w:val="000A7FEC"/>
    <w:rsid w:val="000B11F1"/>
    <w:rsid w:val="000B3CE2"/>
    <w:rsid w:val="000B417F"/>
    <w:rsid w:val="000B4850"/>
    <w:rsid w:val="000D0FA4"/>
    <w:rsid w:val="000D40E9"/>
    <w:rsid w:val="00115DE7"/>
    <w:rsid w:val="00117DB1"/>
    <w:rsid w:val="00122D43"/>
    <w:rsid w:val="00123826"/>
    <w:rsid w:val="001271F7"/>
    <w:rsid w:val="00127D94"/>
    <w:rsid w:val="0013015C"/>
    <w:rsid w:val="001331AA"/>
    <w:rsid w:val="00135B56"/>
    <w:rsid w:val="001424E7"/>
    <w:rsid w:val="00146F8F"/>
    <w:rsid w:val="00160FCE"/>
    <w:rsid w:val="001618AE"/>
    <w:rsid w:val="0016674F"/>
    <w:rsid w:val="00166F95"/>
    <w:rsid w:val="00174DD3"/>
    <w:rsid w:val="0019253D"/>
    <w:rsid w:val="001938F7"/>
    <w:rsid w:val="0019753E"/>
    <w:rsid w:val="001A128D"/>
    <w:rsid w:val="001A4215"/>
    <w:rsid w:val="001B0F4C"/>
    <w:rsid w:val="001B2DDC"/>
    <w:rsid w:val="001B4370"/>
    <w:rsid w:val="001B4F62"/>
    <w:rsid w:val="001C1EAE"/>
    <w:rsid w:val="001C40B6"/>
    <w:rsid w:val="001E74B3"/>
    <w:rsid w:val="001E7EF6"/>
    <w:rsid w:val="001F0F2F"/>
    <w:rsid w:val="001F1160"/>
    <w:rsid w:val="001F2F0E"/>
    <w:rsid w:val="001F672C"/>
    <w:rsid w:val="0020280C"/>
    <w:rsid w:val="00215382"/>
    <w:rsid w:val="00216DF3"/>
    <w:rsid w:val="002250D9"/>
    <w:rsid w:val="002423BC"/>
    <w:rsid w:val="00252004"/>
    <w:rsid w:val="00252608"/>
    <w:rsid w:val="00256129"/>
    <w:rsid w:val="00261C00"/>
    <w:rsid w:val="002651F8"/>
    <w:rsid w:val="00265BB7"/>
    <w:rsid w:val="002669C0"/>
    <w:rsid w:val="002701D0"/>
    <w:rsid w:val="002726A3"/>
    <w:rsid w:val="002936B1"/>
    <w:rsid w:val="002A4DE5"/>
    <w:rsid w:val="002B6D78"/>
    <w:rsid w:val="002C6E4B"/>
    <w:rsid w:val="002D18B7"/>
    <w:rsid w:val="002D20DB"/>
    <w:rsid w:val="002D4D27"/>
    <w:rsid w:val="002D711B"/>
    <w:rsid w:val="002E0EF7"/>
    <w:rsid w:val="002E3988"/>
    <w:rsid w:val="002F2509"/>
    <w:rsid w:val="0030014C"/>
    <w:rsid w:val="00301199"/>
    <w:rsid w:val="00301DF9"/>
    <w:rsid w:val="00312388"/>
    <w:rsid w:val="003168F4"/>
    <w:rsid w:val="00327614"/>
    <w:rsid w:val="00330463"/>
    <w:rsid w:val="00332927"/>
    <w:rsid w:val="0033388C"/>
    <w:rsid w:val="0033418A"/>
    <w:rsid w:val="00335CBC"/>
    <w:rsid w:val="0033701D"/>
    <w:rsid w:val="003447C4"/>
    <w:rsid w:val="00351F9C"/>
    <w:rsid w:val="003551E2"/>
    <w:rsid w:val="003578BA"/>
    <w:rsid w:val="00357C22"/>
    <w:rsid w:val="00370682"/>
    <w:rsid w:val="00374671"/>
    <w:rsid w:val="00382D66"/>
    <w:rsid w:val="0039086D"/>
    <w:rsid w:val="0039399E"/>
    <w:rsid w:val="0039683F"/>
    <w:rsid w:val="003A0ECE"/>
    <w:rsid w:val="003A4BF5"/>
    <w:rsid w:val="003C6053"/>
    <w:rsid w:val="003D0A93"/>
    <w:rsid w:val="003D6DC9"/>
    <w:rsid w:val="003E5CEF"/>
    <w:rsid w:val="003F5996"/>
    <w:rsid w:val="00403A44"/>
    <w:rsid w:val="004068EA"/>
    <w:rsid w:val="00411455"/>
    <w:rsid w:val="00412944"/>
    <w:rsid w:val="004131D9"/>
    <w:rsid w:val="0041390F"/>
    <w:rsid w:val="004163D5"/>
    <w:rsid w:val="004170C1"/>
    <w:rsid w:val="00417CB8"/>
    <w:rsid w:val="00431D04"/>
    <w:rsid w:val="00432AEB"/>
    <w:rsid w:val="00434647"/>
    <w:rsid w:val="004352C1"/>
    <w:rsid w:val="00437AD9"/>
    <w:rsid w:val="00442D2B"/>
    <w:rsid w:val="004441BB"/>
    <w:rsid w:val="00451C05"/>
    <w:rsid w:val="00460260"/>
    <w:rsid w:val="00470107"/>
    <w:rsid w:val="0048330B"/>
    <w:rsid w:val="00485B8B"/>
    <w:rsid w:val="00487412"/>
    <w:rsid w:val="00491AD7"/>
    <w:rsid w:val="004951B2"/>
    <w:rsid w:val="004A4589"/>
    <w:rsid w:val="004A526E"/>
    <w:rsid w:val="004A7933"/>
    <w:rsid w:val="004B60DB"/>
    <w:rsid w:val="004B64FE"/>
    <w:rsid w:val="004C5318"/>
    <w:rsid w:val="004C7168"/>
    <w:rsid w:val="004D1D70"/>
    <w:rsid w:val="004D3964"/>
    <w:rsid w:val="004E4940"/>
    <w:rsid w:val="004F60DB"/>
    <w:rsid w:val="0050379B"/>
    <w:rsid w:val="00505477"/>
    <w:rsid w:val="00507A21"/>
    <w:rsid w:val="00512688"/>
    <w:rsid w:val="005267F8"/>
    <w:rsid w:val="00526D78"/>
    <w:rsid w:val="00532D2F"/>
    <w:rsid w:val="00542B4E"/>
    <w:rsid w:val="005449A0"/>
    <w:rsid w:val="00552725"/>
    <w:rsid w:val="00562109"/>
    <w:rsid w:val="005645F7"/>
    <w:rsid w:val="005774AB"/>
    <w:rsid w:val="00582590"/>
    <w:rsid w:val="0058408C"/>
    <w:rsid w:val="005842FB"/>
    <w:rsid w:val="00585039"/>
    <w:rsid w:val="00590EBC"/>
    <w:rsid w:val="00593CBE"/>
    <w:rsid w:val="005A217D"/>
    <w:rsid w:val="005A2ECA"/>
    <w:rsid w:val="005B0CBE"/>
    <w:rsid w:val="005B29B7"/>
    <w:rsid w:val="005B341D"/>
    <w:rsid w:val="005B747D"/>
    <w:rsid w:val="005C24D9"/>
    <w:rsid w:val="005D36AA"/>
    <w:rsid w:val="005E48C5"/>
    <w:rsid w:val="005E5251"/>
    <w:rsid w:val="005E7870"/>
    <w:rsid w:val="00605B27"/>
    <w:rsid w:val="00621CFE"/>
    <w:rsid w:val="00625192"/>
    <w:rsid w:val="00627953"/>
    <w:rsid w:val="0063251E"/>
    <w:rsid w:val="006334A3"/>
    <w:rsid w:val="00633A74"/>
    <w:rsid w:val="0063571D"/>
    <w:rsid w:val="006419D5"/>
    <w:rsid w:val="006466E4"/>
    <w:rsid w:val="0065442F"/>
    <w:rsid w:val="00655DC5"/>
    <w:rsid w:val="006623B0"/>
    <w:rsid w:val="006625FE"/>
    <w:rsid w:val="006635C2"/>
    <w:rsid w:val="006736DE"/>
    <w:rsid w:val="0068023D"/>
    <w:rsid w:val="00687564"/>
    <w:rsid w:val="00690323"/>
    <w:rsid w:val="0069088E"/>
    <w:rsid w:val="00696F07"/>
    <w:rsid w:val="006B0650"/>
    <w:rsid w:val="006B2487"/>
    <w:rsid w:val="006B28B7"/>
    <w:rsid w:val="006B7420"/>
    <w:rsid w:val="006B78B9"/>
    <w:rsid w:val="006C1F10"/>
    <w:rsid w:val="006C40E7"/>
    <w:rsid w:val="006C7573"/>
    <w:rsid w:val="006D07F5"/>
    <w:rsid w:val="006D495F"/>
    <w:rsid w:val="006D7235"/>
    <w:rsid w:val="006F34A3"/>
    <w:rsid w:val="006F3E6B"/>
    <w:rsid w:val="006F4352"/>
    <w:rsid w:val="006F595A"/>
    <w:rsid w:val="006F7B1C"/>
    <w:rsid w:val="00703BCB"/>
    <w:rsid w:val="0070493B"/>
    <w:rsid w:val="00707DAE"/>
    <w:rsid w:val="007104CD"/>
    <w:rsid w:val="00726860"/>
    <w:rsid w:val="00735051"/>
    <w:rsid w:val="00736819"/>
    <w:rsid w:val="00736F08"/>
    <w:rsid w:val="00742449"/>
    <w:rsid w:val="00742C52"/>
    <w:rsid w:val="00765FBC"/>
    <w:rsid w:val="0076747C"/>
    <w:rsid w:val="00770CA4"/>
    <w:rsid w:val="00771146"/>
    <w:rsid w:val="0077125A"/>
    <w:rsid w:val="0077377F"/>
    <w:rsid w:val="0078503D"/>
    <w:rsid w:val="00786173"/>
    <w:rsid w:val="007870BE"/>
    <w:rsid w:val="00787AB5"/>
    <w:rsid w:val="00793668"/>
    <w:rsid w:val="007A1128"/>
    <w:rsid w:val="007A4716"/>
    <w:rsid w:val="007B78C0"/>
    <w:rsid w:val="007C2C00"/>
    <w:rsid w:val="007C403D"/>
    <w:rsid w:val="007D4F1A"/>
    <w:rsid w:val="00806E3E"/>
    <w:rsid w:val="00811AB6"/>
    <w:rsid w:val="00823B5B"/>
    <w:rsid w:val="0082604D"/>
    <w:rsid w:val="00826F48"/>
    <w:rsid w:val="00837BCF"/>
    <w:rsid w:val="00851C3D"/>
    <w:rsid w:val="0086471A"/>
    <w:rsid w:val="00867D35"/>
    <w:rsid w:val="008759E8"/>
    <w:rsid w:val="00877627"/>
    <w:rsid w:val="008811FC"/>
    <w:rsid w:val="00882253"/>
    <w:rsid w:val="00883E2C"/>
    <w:rsid w:val="00893ACF"/>
    <w:rsid w:val="008C53AD"/>
    <w:rsid w:val="008C5965"/>
    <w:rsid w:val="008C70FF"/>
    <w:rsid w:val="008E070C"/>
    <w:rsid w:val="008E4CFB"/>
    <w:rsid w:val="008E65B3"/>
    <w:rsid w:val="008F2A05"/>
    <w:rsid w:val="00925859"/>
    <w:rsid w:val="009308E0"/>
    <w:rsid w:val="00930BE5"/>
    <w:rsid w:val="00937B04"/>
    <w:rsid w:val="00950526"/>
    <w:rsid w:val="009562CC"/>
    <w:rsid w:val="00974AD5"/>
    <w:rsid w:val="0098174A"/>
    <w:rsid w:val="00984D8D"/>
    <w:rsid w:val="00984F97"/>
    <w:rsid w:val="009922FE"/>
    <w:rsid w:val="00995F05"/>
    <w:rsid w:val="00996AEF"/>
    <w:rsid w:val="00996BCE"/>
    <w:rsid w:val="009A0713"/>
    <w:rsid w:val="009A5A8E"/>
    <w:rsid w:val="009B0657"/>
    <w:rsid w:val="009B175E"/>
    <w:rsid w:val="009B4539"/>
    <w:rsid w:val="009D38F3"/>
    <w:rsid w:val="009D42CB"/>
    <w:rsid w:val="009D5901"/>
    <w:rsid w:val="009E181A"/>
    <w:rsid w:val="009E7E2A"/>
    <w:rsid w:val="009F3D1D"/>
    <w:rsid w:val="009F7C42"/>
    <w:rsid w:val="00A019B3"/>
    <w:rsid w:val="00A049A0"/>
    <w:rsid w:val="00A06C3B"/>
    <w:rsid w:val="00A10B14"/>
    <w:rsid w:val="00A1214C"/>
    <w:rsid w:val="00A171D3"/>
    <w:rsid w:val="00A20A3B"/>
    <w:rsid w:val="00A27416"/>
    <w:rsid w:val="00A33A60"/>
    <w:rsid w:val="00A4013A"/>
    <w:rsid w:val="00A43A3D"/>
    <w:rsid w:val="00A45E1E"/>
    <w:rsid w:val="00A546F0"/>
    <w:rsid w:val="00A56EA8"/>
    <w:rsid w:val="00A623D3"/>
    <w:rsid w:val="00A62854"/>
    <w:rsid w:val="00A65739"/>
    <w:rsid w:val="00A70761"/>
    <w:rsid w:val="00A73369"/>
    <w:rsid w:val="00A738BD"/>
    <w:rsid w:val="00A75E64"/>
    <w:rsid w:val="00A832DA"/>
    <w:rsid w:val="00A85FE1"/>
    <w:rsid w:val="00A87B59"/>
    <w:rsid w:val="00A97D0A"/>
    <w:rsid w:val="00AC1ED2"/>
    <w:rsid w:val="00AD0AB0"/>
    <w:rsid w:val="00AD794C"/>
    <w:rsid w:val="00AE1639"/>
    <w:rsid w:val="00AF2D03"/>
    <w:rsid w:val="00B01193"/>
    <w:rsid w:val="00B03ECD"/>
    <w:rsid w:val="00B060FD"/>
    <w:rsid w:val="00B12DA7"/>
    <w:rsid w:val="00B17FBE"/>
    <w:rsid w:val="00B20B5B"/>
    <w:rsid w:val="00B21A3F"/>
    <w:rsid w:val="00B21C99"/>
    <w:rsid w:val="00B23095"/>
    <w:rsid w:val="00B242DA"/>
    <w:rsid w:val="00B33B98"/>
    <w:rsid w:val="00B36256"/>
    <w:rsid w:val="00B4030D"/>
    <w:rsid w:val="00B41B93"/>
    <w:rsid w:val="00B476FA"/>
    <w:rsid w:val="00B764DE"/>
    <w:rsid w:val="00B779E4"/>
    <w:rsid w:val="00B93D5B"/>
    <w:rsid w:val="00B95C7F"/>
    <w:rsid w:val="00BA090E"/>
    <w:rsid w:val="00BA3CC5"/>
    <w:rsid w:val="00BA4850"/>
    <w:rsid w:val="00BC2385"/>
    <w:rsid w:val="00BC3E9F"/>
    <w:rsid w:val="00BC4350"/>
    <w:rsid w:val="00BD6BB5"/>
    <w:rsid w:val="00BE6394"/>
    <w:rsid w:val="00BE6A44"/>
    <w:rsid w:val="00BF0E4C"/>
    <w:rsid w:val="00BF47E8"/>
    <w:rsid w:val="00C0020C"/>
    <w:rsid w:val="00C0307F"/>
    <w:rsid w:val="00C129DF"/>
    <w:rsid w:val="00C136F9"/>
    <w:rsid w:val="00C34030"/>
    <w:rsid w:val="00C349BB"/>
    <w:rsid w:val="00C34C0C"/>
    <w:rsid w:val="00C40A0D"/>
    <w:rsid w:val="00C50A9A"/>
    <w:rsid w:val="00C53640"/>
    <w:rsid w:val="00C541B7"/>
    <w:rsid w:val="00C612C8"/>
    <w:rsid w:val="00C6392E"/>
    <w:rsid w:val="00C63D71"/>
    <w:rsid w:val="00C65E44"/>
    <w:rsid w:val="00C70041"/>
    <w:rsid w:val="00C746A9"/>
    <w:rsid w:val="00C86912"/>
    <w:rsid w:val="00C873D3"/>
    <w:rsid w:val="00C95ABD"/>
    <w:rsid w:val="00C966E8"/>
    <w:rsid w:val="00CA08D6"/>
    <w:rsid w:val="00CB31D7"/>
    <w:rsid w:val="00CC0ACB"/>
    <w:rsid w:val="00CC16DA"/>
    <w:rsid w:val="00CD067F"/>
    <w:rsid w:val="00CE5244"/>
    <w:rsid w:val="00CE5616"/>
    <w:rsid w:val="00CF617A"/>
    <w:rsid w:val="00CF73EC"/>
    <w:rsid w:val="00CF759A"/>
    <w:rsid w:val="00D1404B"/>
    <w:rsid w:val="00D15D34"/>
    <w:rsid w:val="00D17B27"/>
    <w:rsid w:val="00D21189"/>
    <w:rsid w:val="00D21DAB"/>
    <w:rsid w:val="00D24041"/>
    <w:rsid w:val="00D25368"/>
    <w:rsid w:val="00D25D80"/>
    <w:rsid w:val="00D4458D"/>
    <w:rsid w:val="00D468D1"/>
    <w:rsid w:val="00D56927"/>
    <w:rsid w:val="00D6057C"/>
    <w:rsid w:val="00D630CF"/>
    <w:rsid w:val="00D678A0"/>
    <w:rsid w:val="00D96409"/>
    <w:rsid w:val="00DA1B61"/>
    <w:rsid w:val="00DA4C6B"/>
    <w:rsid w:val="00DA656C"/>
    <w:rsid w:val="00DA67C1"/>
    <w:rsid w:val="00DB06DD"/>
    <w:rsid w:val="00DB17D9"/>
    <w:rsid w:val="00DB2BE3"/>
    <w:rsid w:val="00DB2F17"/>
    <w:rsid w:val="00DB4EF3"/>
    <w:rsid w:val="00DB615A"/>
    <w:rsid w:val="00DC06EE"/>
    <w:rsid w:val="00DC0D44"/>
    <w:rsid w:val="00DC34FB"/>
    <w:rsid w:val="00DD3288"/>
    <w:rsid w:val="00DD3FA1"/>
    <w:rsid w:val="00DE0533"/>
    <w:rsid w:val="00DE6F8D"/>
    <w:rsid w:val="00DE7520"/>
    <w:rsid w:val="00DF0609"/>
    <w:rsid w:val="00DF113F"/>
    <w:rsid w:val="00DF3ABE"/>
    <w:rsid w:val="00E017F4"/>
    <w:rsid w:val="00E04DFB"/>
    <w:rsid w:val="00E13C33"/>
    <w:rsid w:val="00E20F03"/>
    <w:rsid w:val="00E27A09"/>
    <w:rsid w:val="00E366A1"/>
    <w:rsid w:val="00E408FC"/>
    <w:rsid w:val="00E40CA5"/>
    <w:rsid w:val="00E460D6"/>
    <w:rsid w:val="00E47970"/>
    <w:rsid w:val="00E50395"/>
    <w:rsid w:val="00E54178"/>
    <w:rsid w:val="00E552BC"/>
    <w:rsid w:val="00E61C10"/>
    <w:rsid w:val="00E6200E"/>
    <w:rsid w:val="00E64FF9"/>
    <w:rsid w:val="00E70403"/>
    <w:rsid w:val="00E704F5"/>
    <w:rsid w:val="00E7060F"/>
    <w:rsid w:val="00E706D1"/>
    <w:rsid w:val="00E75974"/>
    <w:rsid w:val="00E957BA"/>
    <w:rsid w:val="00EA6B01"/>
    <w:rsid w:val="00EB79F8"/>
    <w:rsid w:val="00EC15EB"/>
    <w:rsid w:val="00EC212E"/>
    <w:rsid w:val="00EC2AB7"/>
    <w:rsid w:val="00EC3E54"/>
    <w:rsid w:val="00ED20F0"/>
    <w:rsid w:val="00ED26F8"/>
    <w:rsid w:val="00ED4000"/>
    <w:rsid w:val="00ED6B4E"/>
    <w:rsid w:val="00ED6ECC"/>
    <w:rsid w:val="00EE4AB0"/>
    <w:rsid w:val="00F10975"/>
    <w:rsid w:val="00F25BE4"/>
    <w:rsid w:val="00F35FA2"/>
    <w:rsid w:val="00F50474"/>
    <w:rsid w:val="00F57588"/>
    <w:rsid w:val="00F6240F"/>
    <w:rsid w:val="00F643FB"/>
    <w:rsid w:val="00F67A7C"/>
    <w:rsid w:val="00F75059"/>
    <w:rsid w:val="00F8722B"/>
    <w:rsid w:val="00F87519"/>
    <w:rsid w:val="00F94E63"/>
    <w:rsid w:val="00F97FC1"/>
    <w:rsid w:val="00FA4C53"/>
    <w:rsid w:val="00FA7E6F"/>
    <w:rsid w:val="00FB2AA3"/>
    <w:rsid w:val="00FB55EF"/>
    <w:rsid w:val="00FC04B0"/>
    <w:rsid w:val="00FC232A"/>
    <w:rsid w:val="00FC4C4D"/>
    <w:rsid w:val="00FC54F3"/>
    <w:rsid w:val="00FC6CDC"/>
    <w:rsid w:val="00FD04BE"/>
    <w:rsid w:val="00FD347F"/>
    <w:rsid w:val="00FF5C61"/>
    <w:rsid w:val="00FF62BC"/>
    <w:rsid w:val="6B2DA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4FDB2"/>
  <w15:chartTrackingRefBased/>
  <w15:docId w15:val="{91E38FCD-1F1F-4260-A22F-C24205A2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rsid w:val="00593CBE"/>
    <w:pPr>
      <w:jc w:val="both"/>
    </w:pPr>
    <w:rPr>
      <w:rFonts w:eastAsia="Times New Roman" w:cs="Arial"/>
      <w:sz w:val="22"/>
      <w:szCs w:val="22"/>
    </w:rPr>
  </w:style>
  <w:style w:type="paragraph" w:styleId="BodyText3">
    <w:name w:val="Body Text 3"/>
    <w:basedOn w:val="Normal"/>
    <w:rPr>
      <w:rFonts w:eastAsia="Times New Roman" w:cs="Arial"/>
      <w:color w:val="000000"/>
      <w:sz w:val="22"/>
      <w:szCs w:val="22"/>
      <w:lang w:val="et-EE"/>
    </w:rPr>
  </w:style>
  <w:style w:type="paragraph" w:customStyle="1" w:styleId="Level5">
    <w:name w:val="Level5"/>
    <w:basedOn w:val="ListContinue5"/>
    <w:qFormat/>
    <w:rsid w:val="00F75059"/>
    <w:pPr>
      <w:numPr>
        <w:ilvl w:val="4"/>
        <w:numId w:val="1"/>
      </w:numPr>
      <w:tabs>
        <w:tab w:val="num" w:pos="360"/>
      </w:tabs>
      <w:spacing w:line="276" w:lineRule="auto"/>
      <w:ind w:left="1415" w:firstLine="0"/>
    </w:pPr>
    <w:rPr>
      <w:rFonts w:ascii="Calibri" w:eastAsia="Times New Roman" w:hAnsi="Calibri"/>
      <w:sz w:val="22"/>
      <w:szCs w:val="22"/>
      <w:lang w:val="et-EE" w:eastAsia="et-EE"/>
    </w:rPr>
  </w:style>
  <w:style w:type="paragraph" w:customStyle="1" w:styleId="Body2">
    <w:name w:val="Body2"/>
    <w:link w:val="Body2Char"/>
    <w:qFormat/>
    <w:rsid w:val="00F75059"/>
    <w:pPr>
      <w:spacing w:after="160" w:line="259" w:lineRule="auto"/>
    </w:pPr>
    <w:rPr>
      <w:rFonts w:eastAsia="Times New Roman"/>
      <w:bCs/>
      <w:szCs w:val="22"/>
      <w:lang w:val="et-EE" w:eastAsia="et-EE"/>
    </w:rPr>
  </w:style>
  <w:style w:type="paragraph" w:customStyle="1" w:styleId="Level1">
    <w:name w:val="Level1"/>
    <w:basedOn w:val="ListBullet"/>
    <w:qFormat/>
    <w:rsid w:val="00F75059"/>
    <w:pPr>
      <w:tabs>
        <w:tab w:val="left" w:pos="567"/>
      </w:tabs>
      <w:spacing w:after="160" w:line="259" w:lineRule="auto"/>
      <w:contextualSpacing w:val="0"/>
    </w:pPr>
    <w:rPr>
      <w:rFonts w:eastAsia="Times New Roman"/>
      <w:b/>
      <w:bCs/>
      <w:caps/>
      <w:sz w:val="20"/>
      <w:szCs w:val="22"/>
      <w:lang w:val="et-EE" w:eastAsia="et-EE"/>
    </w:rPr>
  </w:style>
  <w:style w:type="character" w:customStyle="1" w:styleId="Body2Char">
    <w:name w:val="Body2 Char"/>
    <w:link w:val="Body2"/>
    <w:rsid w:val="00F75059"/>
    <w:rPr>
      <w:rFonts w:eastAsia="Times New Roman"/>
      <w:bCs/>
      <w:szCs w:val="22"/>
      <w:lang w:val="et-EE" w:eastAsia="et-EE"/>
    </w:rPr>
  </w:style>
  <w:style w:type="paragraph" w:customStyle="1" w:styleId="Level2">
    <w:name w:val="Level2"/>
    <w:basedOn w:val="ListBullet2"/>
    <w:link w:val="Level2Char"/>
    <w:qFormat/>
    <w:rsid w:val="00F75059"/>
    <w:pPr>
      <w:numPr>
        <w:ilvl w:val="1"/>
        <w:numId w:val="1"/>
      </w:numPr>
      <w:tabs>
        <w:tab w:val="left" w:pos="567"/>
      </w:tabs>
      <w:spacing w:after="160" w:line="259" w:lineRule="auto"/>
      <w:contextualSpacing w:val="0"/>
    </w:pPr>
    <w:rPr>
      <w:rFonts w:eastAsia="Times New Roman"/>
      <w:sz w:val="20"/>
      <w:szCs w:val="22"/>
      <w:lang w:val="et-EE" w:eastAsia="et-EE"/>
    </w:rPr>
  </w:style>
  <w:style w:type="paragraph" w:customStyle="1" w:styleId="Level3">
    <w:name w:val="Level3"/>
    <w:basedOn w:val="ListBullet3"/>
    <w:link w:val="Level3Char"/>
    <w:qFormat/>
    <w:rsid w:val="00F75059"/>
    <w:pPr>
      <w:numPr>
        <w:ilvl w:val="2"/>
        <w:numId w:val="1"/>
      </w:numPr>
      <w:spacing w:after="160" w:line="259" w:lineRule="auto"/>
      <w:contextualSpacing w:val="0"/>
    </w:pPr>
    <w:rPr>
      <w:rFonts w:eastAsia="Times New Roman"/>
      <w:sz w:val="20"/>
      <w:szCs w:val="22"/>
      <w:lang w:val="et-EE" w:eastAsia="et-EE"/>
    </w:rPr>
  </w:style>
  <w:style w:type="character" w:customStyle="1" w:styleId="Level2Char">
    <w:name w:val="Level2 Char"/>
    <w:link w:val="Level2"/>
    <w:rsid w:val="00F75059"/>
    <w:rPr>
      <w:rFonts w:eastAsia="Times New Roman"/>
      <w:szCs w:val="22"/>
      <w:lang w:val="et-EE" w:eastAsia="et-EE"/>
    </w:rPr>
  </w:style>
  <w:style w:type="character" w:customStyle="1" w:styleId="Level3Char">
    <w:name w:val="Level3 Char"/>
    <w:link w:val="Level3"/>
    <w:rsid w:val="00F75059"/>
    <w:rPr>
      <w:rFonts w:eastAsia="Times New Roman"/>
      <w:szCs w:val="22"/>
      <w:lang w:val="et-EE" w:eastAsia="et-EE"/>
    </w:rPr>
  </w:style>
  <w:style w:type="paragraph" w:customStyle="1" w:styleId="Level4">
    <w:name w:val="Level4"/>
    <w:basedOn w:val="ListBullet4"/>
    <w:link w:val="Level4Char"/>
    <w:qFormat/>
    <w:rsid w:val="00F75059"/>
    <w:pPr>
      <w:numPr>
        <w:ilvl w:val="3"/>
        <w:numId w:val="1"/>
      </w:numPr>
      <w:spacing w:after="160" w:line="259" w:lineRule="auto"/>
      <w:contextualSpacing w:val="0"/>
    </w:pPr>
    <w:rPr>
      <w:rFonts w:eastAsia="Times New Roman"/>
      <w:sz w:val="20"/>
      <w:szCs w:val="22"/>
      <w:lang w:val="et-EE" w:eastAsia="et-EE"/>
    </w:rPr>
  </w:style>
  <w:style w:type="character" w:customStyle="1" w:styleId="Level4Char">
    <w:name w:val="Level4 Char"/>
    <w:link w:val="Level4"/>
    <w:rsid w:val="00F75059"/>
    <w:rPr>
      <w:rFonts w:eastAsia="Times New Roman"/>
      <w:szCs w:val="22"/>
      <w:lang w:val="et-EE" w:eastAsia="et-EE"/>
    </w:rPr>
  </w:style>
  <w:style w:type="paragraph" w:styleId="NoSpacing">
    <w:name w:val="No Spacing"/>
    <w:uiPriority w:val="1"/>
    <w:rsid w:val="00F75059"/>
    <w:rPr>
      <w:rFonts w:eastAsia="Times New Roman"/>
      <w:szCs w:val="22"/>
      <w:lang w:val="et-EE" w:eastAsia="et-EE"/>
    </w:rPr>
  </w:style>
  <w:style w:type="paragraph" w:customStyle="1" w:styleId="TableSignature">
    <w:name w:val="TableSignature"/>
    <w:rsid w:val="00F75059"/>
    <w:pPr>
      <w:keepNext/>
      <w:ind w:left="-113"/>
    </w:pPr>
    <w:rPr>
      <w:rFonts w:eastAsia="Times New Roman"/>
      <w:bCs/>
      <w:szCs w:val="22"/>
      <w:lang w:val="et-EE" w:eastAsia="et-EE"/>
    </w:rPr>
  </w:style>
  <w:style w:type="paragraph" w:customStyle="1" w:styleId="TableSignatureLast">
    <w:name w:val="TableSignatureLast"/>
    <w:rsid w:val="00F75059"/>
    <w:pPr>
      <w:ind w:left="-113"/>
    </w:pPr>
    <w:rPr>
      <w:rFonts w:eastAsia="Times New Roman"/>
      <w:bCs/>
      <w:szCs w:val="22"/>
      <w:lang w:val="et-EE" w:eastAsia="et-EE"/>
    </w:rPr>
  </w:style>
  <w:style w:type="table" w:customStyle="1" w:styleId="TableGridPHPDOCX">
    <w:name w:val="Table Grid PHPDOCX"/>
    <w:uiPriority w:val="59"/>
    <w:semiHidden/>
    <w:unhideWhenUsed/>
    <w:rsid w:val="00F75059"/>
    <w:rPr>
      <w:rFonts w:ascii="Calibri" w:eastAsia="Calibri" w:hAnsi="Calibri"/>
      <w:szCs w:val="24"/>
      <w:lang w:val="et-EE" w:eastAsia="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5">
    <w:name w:val="List Continue 5"/>
    <w:basedOn w:val="Normal"/>
    <w:rsid w:val="00F75059"/>
    <w:pPr>
      <w:spacing w:after="120"/>
      <w:ind w:left="1415"/>
      <w:contextualSpacing/>
    </w:pPr>
  </w:style>
  <w:style w:type="paragraph" w:styleId="ListBullet">
    <w:name w:val="List Bullet"/>
    <w:basedOn w:val="Normal"/>
    <w:rsid w:val="00F75059"/>
    <w:pPr>
      <w:ind w:left="567" w:hanging="567"/>
      <w:contextualSpacing/>
    </w:pPr>
  </w:style>
  <w:style w:type="paragraph" w:styleId="ListBullet2">
    <w:name w:val="List Bullet 2"/>
    <w:basedOn w:val="Normal"/>
    <w:rsid w:val="00F75059"/>
    <w:pPr>
      <w:ind w:left="567" w:hanging="567"/>
      <w:contextualSpacing/>
    </w:pPr>
  </w:style>
  <w:style w:type="paragraph" w:styleId="ListBullet3">
    <w:name w:val="List Bullet 3"/>
    <w:basedOn w:val="Normal"/>
    <w:rsid w:val="00F75059"/>
    <w:pPr>
      <w:ind w:left="567" w:hanging="567"/>
      <w:contextualSpacing/>
    </w:pPr>
  </w:style>
  <w:style w:type="paragraph" w:styleId="ListBullet4">
    <w:name w:val="List Bullet 4"/>
    <w:basedOn w:val="Normal"/>
    <w:rsid w:val="00F75059"/>
    <w:pPr>
      <w:ind w:left="567" w:hanging="567"/>
      <w:contextualSpacing/>
    </w:pPr>
  </w:style>
  <w:style w:type="character" w:customStyle="1" w:styleId="tableentry">
    <w:name w:val="tableentry"/>
    <w:rsid w:val="00BF0E4C"/>
    <w:rPr>
      <w:rFonts w:ascii="Tahoma" w:hAnsi="Tahoma" w:cs="Tahoma" w:hint="default"/>
      <w:sz w:val="18"/>
      <w:szCs w:val="18"/>
    </w:rPr>
  </w:style>
  <w:style w:type="paragraph" w:styleId="ListParagraph">
    <w:name w:val="List Paragraph"/>
    <w:basedOn w:val="Normal"/>
    <w:uiPriority w:val="34"/>
    <w:qFormat/>
    <w:rsid w:val="00930BE5"/>
    <w:pPr>
      <w:spacing w:after="23" w:line="249" w:lineRule="auto"/>
      <w:ind w:left="720" w:hanging="10"/>
      <w:contextualSpacing/>
      <w:jc w:val="both"/>
    </w:pPr>
    <w:rPr>
      <w:rFonts w:cs="Arial"/>
      <w:color w:val="000000"/>
      <w:sz w:val="22"/>
      <w:szCs w:val="22"/>
      <w:lang w:val="et-EE" w:eastAsia="et-EE"/>
    </w:rPr>
  </w:style>
  <w:style w:type="paragraph" w:customStyle="1" w:styleId="Default">
    <w:name w:val="Default"/>
    <w:rsid w:val="00930BE5"/>
    <w:pPr>
      <w:autoSpaceDE w:val="0"/>
      <w:autoSpaceDN w:val="0"/>
      <w:adjustRightInd w:val="0"/>
    </w:pPr>
    <w:rPr>
      <w:rFonts w:ascii="Times New Roman" w:eastAsia="Times New Roman" w:hAnsi="Times New Roman"/>
      <w:color w:val="000000"/>
      <w:sz w:val="24"/>
      <w:szCs w:val="24"/>
      <w:lang w:val="et-EE" w:eastAsia="et-EE"/>
    </w:rPr>
  </w:style>
  <w:style w:type="table" w:customStyle="1" w:styleId="TableGrid">
    <w:name w:val="TableGrid"/>
    <w:rsid w:val="00F87519"/>
    <w:rPr>
      <w:rFonts w:ascii="Calibri" w:eastAsia="Times New Roman" w:hAnsi="Calibri"/>
      <w:sz w:val="22"/>
      <w:szCs w:val="22"/>
      <w:lang w:val="et-EE" w:eastAsia="et-EE"/>
    </w:rPr>
    <w:tblPr>
      <w:tblCellMar>
        <w:top w:w="0" w:type="dxa"/>
        <w:left w:w="0" w:type="dxa"/>
        <w:bottom w:w="0" w:type="dxa"/>
        <w:right w:w="0" w:type="dxa"/>
      </w:tblCellMar>
    </w:tblPr>
  </w:style>
  <w:style w:type="paragraph" w:styleId="FootnoteText">
    <w:name w:val="footnote text"/>
    <w:basedOn w:val="Normal"/>
    <w:link w:val="FootnoteTextChar"/>
    <w:rsid w:val="00E47970"/>
    <w:rPr>
      <w:sz w:val="20"/>
      <w:szCs w:val="20"/>
    </w:rPr>
  </w:style>
  <w:style w:type="character" w:customStyle="1" w:styleId="FootnoteTextChar">
    <w:name w:val="Footnote Text Char"/>
    <w:link w:val="FootnoteText"/>
    <w:rsid w:val="00E47970"/>
    <w:rPr>
      <w:lang w:val="cs-CZ"/>
    </w:rPr>
  </w:style>
  <w:style w:type="character" w:styleId="FootnoteReference">
    <w:name w:val="footnote reference"/>
    <w:rsid w:val="00E47970"/>
    <w:rPr>
      <w:vertAlign w:val="superscript"/>
    </w:rPr>
  </w:style>
  <w:style w:type="character" w:styleId="Hyperlink">
    <w:name w:val="Hyperlink"/>
    <w:uiPriority w:val="99"/>
    <w:unhideWhenUsed/>
    <w:rsid w:val="00E47970"/>
    <w:rPr>
      <w:color w:val="0000FF"/>
      <w:u w:val="single"/>
    </w:rPr>
  </w:style>
  <w:style w:type="paragraph" w:styleId="NormalWeb">
    <w:name w:val="Normal (Web)"/>
    <w:basedOn w:val="Normal"/>
    <w:uiPriority w:val="99"/>
    <w:unhideWhenUsed/>
    <w:rsid w:val="00E47970"/>
    <w:pPr>
      <w:spacing w:before="100" w:beforeAutospacing="1" w:after="100" w:afterAutospacing="1"/>
    </w:pPr>
    <w:rPr>
      <w:rFonts w:ascii="Calibri" w:eastAsia="Calibri" w:hAnsi="Calibri"/>
      <w:sz w:val="22"/>
      <w:szCs w:val="22"/>
      <w:lang w:val="et-EE" w:eastAsia="et-EE"/>
    </w:rPr>
  </w:style>
  <w:style w:type="character" w:styleId="UnresolvedMention">
    <w:name w:val="Unresolved Mention"/>
    <w:uiPriority w:val="99"/>
    <w:semiHidden/>
    <w:unhideWhenUsed/>
    <w:rsid w:val="00E47970"/>
    <w:rPr>
      <w:color w:val="605E5C"/>
      <w:shd w:val="clear" w:color="auto" w:fill="E1DFDD"/>
    </w:rPr>
  </w:style>
  <w:style w:type="character" w:styleId="PageNumber">
    <w:name w:val="page number"/>
    <w:basedOn w:val="DefaultParagraphFont"/>
    <w:rsid w:val="00077D32"/>
  </w:style>
  <w:style w:type="character" w:styleId="CommentReference">
    <w:name w:val="annotation reference"/>
    <w:basedOn w:val="DefaultParagraphFont"/>
    <w:rsid w:val="005D36AA"/>
    <w:rPr>
      <w:sz w:val="16"/>
      <w:szCs w:val="16"/>
    </w:rPr>
  </w:style>
  <w:style w:type="paragraph" w:styleId="CommentText">
    <w:name w:val="annotation text"/>
    <w:basedOn w:val="Normal"/>
    <w:link w:val="CommentTextChar"/>
    <w:rsid w:val="005D36AA"/>
    <w:rPr>
      <w:sz w:val="20"/>
      <w:szCs w:val="20"/>
    </w:rPr>
  </w:style>
  <w:style w:type="character" w:customStyle="1" w:styleId="CommentTextChar">
    <w:name w:val="Comment Text Char"/>
    <w:basedOn w:val="DefaultParagraphFont"/>
    <w:link w:val="CommentText"/>
    <w:rsid w:val="005D36AA"/>
    <w:rPr>
      <w:lang w:val="cs-CZ"/>
    </w:rPr>
  </w:style>
  <w:style w:type="paragraph" w:styleId="CommentSubject">
    <w:name w:val="annotation subject"/>
    <w:basedOn w:val="CommentText"/>
    <w:next w:val="CommentText"/>
    <w:link w:val="CommentSubjectChar"/>
    <w:rsid w:val="005D36AA"/>
    <w:rPr>
      <w:b/>
      <w:bCs/>
    </w:rPr>
  </w:style>
  <w:style w:type="character" w:customStyle="1" w:styleId="CommentSubjectChar">
    <w:name w:val="Comment Subject Char"/>
    <w:basedOn w:val="CommentTextChar"/>
    <w:link w:val="CommentSubject"/>
    <w:rsid w:val="005D36AA"/>
    <w:rPr>
      <w:b/>
      <w:bCs/>
      <w:lang w:val="cs-CZ"/>
    </w:rPr>
  </w:style>
  <w:style w:type="paragraph" w:styleId="Revision">
    <w:name w:val="Revision"/>
    <w:hidden/>
    <w:uiPriority w:val="99"/>
    <w:semiHidden/>
    <w:rsid w:val="00BA3CC5"/>
    <w:rPr>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5889">
      <w:bodyDiv w:val="1"/>
      <w:marLeft w:val="0"/>
      <w:marRight w:val="0"/>
      <w:marTop w:val="0"/>
      <w:marBottom w:val="0"/>
      <w:divBdr>
        <w:top w:val="none" w:sz="0" w:space="0" w:color="auto"/>
        <w:left w:val="none" w:sz="0" w:space="0" w:color="auto"/>
        <w:bottom w:val="none" w:sz="0" w:space="0" w:color="auto"/>
        <w:right w:val="none" w:sz="0" w:space="0" w:color="auto"/>
      </w:divBdr>
    </w:div>
    <w:div w:id="384261900">
      <w:bodyDiv w:val="1"/>
      <w:marLeft w:val="0"/>
      <w:marRight w:val="0"/>
      <w:marTop w:val="0"/>
      <w:marBottom w:val="0"/>
      <w:divBdr>
        <w:top w:val="none" w:sz="0" w:space="0" w:color="auto"/>
        <w:left w:val="none" w:sz="0" w:space="0" w:color="auto"/>
        <w:bottom w:val="none" w:sz="0" w:space="0" w:color="auto"/>
        <w:right w:val="none" w:sz="0" w:space="0" w:color="auto"/>
      </w:divBdr>
    </w:div>
    <w:div w:id="477111578">
      <w:bodyDiv w:val="1"/>
      <w:marLeft w:val="0"/>
      <w:marRight w:val="0"/>
      <w:marTop w:val="0"/>
      <w:marBottom w:val="0"/>
      <w:divBdr>
        <w:top w:val="none" w:sz="0" w:space="0" w:color="auto"/>
        <w:left w:val="none" w:sz="0" w:space="0" w:color="auto"/>
        <w:bottom w:val="none" w:sz="0" w:space="0" w:color="auto"/>
        <w:right w:val="none" w:sz="0" w:space="0" w:color="auto"/>
      </w:divBdr>
    </w:div>
    <w:div w:id="996877874">
      <w:bodyDiv w:val="1"/>
      <w:marLeft w:val="0"/>
      <w:marRight w:val="0"/>
      <w:marTop w:val="0"/>
      <w:marBottom w:val="0"/>
      <w:divBdr>
        <w:top w:val="none" w:sz="0" w:space="0" w:color="auto"/>
        <w:left w:val="none" w:sz="0" w:space="0" w:color="auto"/>
        <w:bottom w:val="none" w:sz="0" w:space="0" w:color="auto"/>
        <w:right w:val="none" w:sz="0" w:space="0" w:color="auto"/>
      </w:divBdr>
    </w:div>
    <w:div w:id="13727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in.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049a6b-5792-47d2-9753-12494f19ceef">
      <Terms xmlns="http://schemas.microsoft.com/office/infopath/2007/PartnerControls"/>
    </lcf76f155ced4ddcb4097134ff3c332f>
    <TaxCatchAll xmlns="6481f060-534b-4bb2-8de4-560aa77743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E1054139CF8094EA64B6D194D02FB96" ma:contentTypeVersion="15" ma:contentTypeDescription="Loo uus dokument" ma:contentTypeScope="" ma:versionID="25909af35b70a3857083bc4dc2983367">
  <xsd:schema xmlns:xsd="http://www.w3.org/2001/XMLSchema" xmlns:xs="http://www.w3.org/2001/XMLSchema" xmlns:p="http://schemas.microsoft.com/office/2006/metadata/properties" xmlns:ns2="ac049a6b-5792-47d2-9753-12494f19ceef" xmlns:ns3="6481f060-534b-4bb2-8de4-560aa7774378" targetNamespace="http://schemas.microsoft.com/office/2006/metadata/properties" ma:root="true" ma:fieldsID="64785ffc19dd0f2b701c4efcb03ac1f5" ns2:_="" ns3:_="">
    <xsd:import namespace="ac049a6b-5792-47d2-9753-12494f19ceef"/>
    <xsd:import namespace="6481f060-534b-4bb2-8de4-560aa77743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49a6b-5792-47d2-9753-12494f19c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81f060-534b-4bb2-8de4-560aa7774378"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ce72985e-6b96-4e28-af31-b18d70cb32a6}" ma:internalName="TaxCatchAll" ma:showField="CatchAllData" ma:web="6481f060-534b-4bb2-8de4-560aa7774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11B72-DC52-4C7D-BD1C-F431AF7A8C12}">
  <ds:schemaRefs>
    <ds:schemaRef ds:uri="http://schemas.microsoft.com/sharepoint/v3/contenttype/forms"/>
  </ds:schemaRefs>
</ds:datastoreItem>
</file>

<file path=customXml/itemProps2.xml><?xml version="1.0" encoding="utf-8"?>
<ds:datastoreItem xmlns:ds="http://schemas.openxmlformats.org/officeDocument/2006/customXml" ds:itemID="{2672B5BB-67D1-48D9-ABFD-670B1D690CBA}">
  <ds:schemaRefs>
    <ds:schemaRef ds:uri="http://purl.org/dc/elements/1.1/"/>
    <ds:schemaRef ds:uri="6481f060-534b-4bb2-8de4-560aa7774378"/>
    <ds:schemaRef ds:uri="http://schemas.microsoft.com/office/infopath/2007/PartnerControls"/>
    <ds:schemaRef ds:uri="http://purl.org/dc/terms/"/>
    <ds:schemaRef ds:uri="http://schemas.microsoft.com/office/2006/metadata/properties"/>
    <ds:schemaRef ds:uri="http://www.w3.org/XML/1998/namespace"/>
    <ds:schemaRef ds:uri="ac049a6b-5792-47d2-9753-12494f19ceef"/>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CEA922F-E68F-40B8-AC01-FB6595B195E1}">
  <ds:schemaRefs>
    <ds:schemaRef ds:uri="http://schemas.openxmlformats.org/officeDocument/2006/bibliography"/>
  </ds:schemaRefs>
</ds:datastoreItem>
</file>

<file path=customXml/itemProps4.xml><?xml version="1.0" encoding="utf-8"?>
<ds:datastoreItem xmlns:ds="http://schemas.openxmlformats.org/officeDocument/2006/customXml" ds:itemID="{1F555BBE-55B2-468E-AC8C-D490F86F9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49a6b-5792-47d2-9753-12494f19ceef"/>
    <ds:schemaRef ds:uri="6481f060-534b-4bb2-8de4-560aa7774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EE_Jaotusvõrk_Tallinn_EST_logoga.dot</Template>
  <TotalTime>6</TotalTime>
  <Pages>4</Pages>
  <Words>1492</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Avalik konsultatsioon Elering AS-i elektrienergia ülekandetasud 16.04.21</vt:lpstr>
    </vt:vector>
  </TitlesOfParts>
  <Company>Kreatiff</Company>
  <LinksUpToDate>false</LinksUpToDate>
  <CharactersWithSpaces>10130</CharactersWithSpaces>
  <SharedDoc>false</SharedDoc>
  <HLinks>
    <vt:vector size="6" baseType="variant">
      <vt:variant>
        <vt:i4>983078</vt:i4>
      </vt:variant>
      <vt:variant>
        <vt:i4>0</vt:i4>
      </vt:variant>
      <vt:variant>
        <vt:i4>0</vt:i4>
      </vt:variant>
      <vt:variant>
        <vt:i4>5</vt:i4>
      </vt:variant>
      <vt:variant>
        <vt:lpwstr>mailto:info@fin.ee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Elektrilevi selgitustaotlus</dc:title>
  <dc:subject/>
  <dc:creator>ITH</dc:creator>
  <cp:keywords/>
  <cp:lastModifiedBy>Carmen Linnumäe</cp:lastModifiedBy>
  <cp:revision>2</cp:revision>
  <cp:lastPrinted>2021-06-04T12:19:00Z</cp:lastPrinted>
  <dcterms:created xsi:type="dcterms:W3CDTF">2025-11-24T08:28:00Z</dcterms:created>
  <dcterms:modified xsi:type="dcterms:W3CDTF">2025-11-24T08:28:00Z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0x010100AE1054139CF8094EA64B6D194D02FB96</vt:lpwstr>
  </property>
  <property fmtid="{D5CDD505-2E9C-101B-9397-08002B2CF9AE}" pid="3" name="MediaServiceImageTags">
    <vt:lpwstr/>
  </property>
</Properties>
</file>